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Автор: Кудрявцева Руслана Сергеевна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Факультет: ПИиКТ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Группа: 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3117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Преподавател</w:t>
      </w:r>
      <w:r>
        <w:rPr>
          <w:rFonts w:eastAsia="Times New Roman" w:cs="Times New Roman" w:ascii="Times New Roman" w:hAnsi="Times New Roman"/>
          <w:sz w:val="24"/>
          <w:szCs w:val="24"/>
        </w:rPr>
        <w:t>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hanging="0"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Быковская </w:t>
      </w:r>
      <w:r>
        <w:rPr>
          <w:rFonts w:eastAsia="Times New Roman" w:cs="Times New Roman" w:ascii="Times New Roman" w:hAnsi="Times New Roman"/>
          <w:sz w:val="24"/>
          <w:szCs w:val="24"/>
        </w:rPr>
        <w:t>Елена Александровна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hanging="0"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Тимофеева Ирина Валерьевна</w:t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49475" cy="8439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84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провести анализ личного вклада в сокращение процента захораниваемых отходов;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Концепция «Ноль отходов»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1 – Анализ возможности реализации раздельного сбора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моем доме</w:t>
      </w:r>
    </w:p>
    <w:tbl>
      <w:tblPr>
        <w:tblStyle w:val="Table1"/>
        <w:tblW w:w="934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05"/>
        <w:gridCol w:w="4139"/>
      </w:tblGrid>
      <w:tr>
        <w:trPr/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Преимущества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Снижение затрат на вывоз и утилизацию отходов.</w:t>
            </w:r>
          </w:p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 Повышение экологической осведомленности среди сотрудников, жильцов или посетителей объекта.</w:t>
            </w:r>
          </w:p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 Снижение загрязнения окружающей среды.</w:t>
            </w:r>
          </w:p>
        </w:tc>
      </w:tr>
      <w:tr>
        <w:trPr>
          <w:trHeight w:val="536" w:hRule="atLeast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Недостатки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Сотрудники, жильцы или посетители могут не понимать, как правильно сортировать отходы.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 Дополнительные расходы на закупку контейнеров, информационные кампании и вывоз отходов по разным маршрутам.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 Если отходы сортируются неправильно, это может сделать их непригодными для переработки.</w:t>
            </w:r>
          </w:p>
        </w:tc>
      </w:tr>
      <w:tr>
        <w:trPr>
          <w:trHeight w:val="536" w:hRule="atLeast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Риски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Низкая мотивация сотрудников или жильцов.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 Недостаточное количество перерабатывающих предприятий или отсутствие переработки определённых видов отходов.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 Общий низкий уровень экологической культуры населения.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2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Личный вклад в раздельный сбор </w:t>
      </w:r>
    </w:p>
    <w:tbl>
      <w:tblPr>
        <w:tblStyle w:val="Table2"/>
        <w:tblW w:w="93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Пункт приема</w:t>
            </w:r>
          </w:p>
        </w:tc>
      </w:tr>
      <w:tr>
        <w:trPr/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 Макулатура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просп. Тореза, 102, корп. 4, Санкт-Петербург, Россия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Утиль</w:t>
            </w:r>
          </w:p>
        </w:tc>
      </w:tr>
      <w:tr>
        <w:trPr/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 Вторсырье и вещи для повторного использования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Лиговский проспект, 256, к. 3, лит. Д.</w:t>
            </w:r>
          </w:p>
        </w:tc>
      </w:tr>
      <w:tr>
        <w:trPr/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 Вторсырье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Выборгское шоссе, д. 22, к. 3.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3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Сокращение отходов по принципу 5R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80"/>
        <w:gridCol w:w="2910"/>
        <w:gridCol w:w="2970"/>
      </w:tblGrid>
      <w:tr>
        <w:trPr>
          <w:trHeight w:val="440" w:hRule="atLeast"/>
        </w:trPr>
        <w:tc>
          <w:tcPr>
            <w:tcW w:w="3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5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>
        <w:trPr>
          <w:trHeight w:val="440" w:hRule="atLeast"/>
        </w:trPr>
        <w:tc>
          <w:tcPr>
            <w:tcW w:w="34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>
        <w:trPr/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От одноразовых пластиковых пакетов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Использовать многоразовую сумку</w:t>
            </w:r>
          </w:p>
        </w:tc>
      </w:tr>
      <w:tr>
        <w:trPr/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Reduce — сократи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Печать документов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Использовать электронные версии</w:t>
            </w:r>
          </w:p>
        </w:tc>
      </w:tr>
      <w:tr>
        <w:trPr/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Стеклянные банки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Хранить в них крупы</w:t>
            </w:r>
          </w:p>
        </w:tc>
      </w:tr>
      <w:tr>
        <w:trPr/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Макулатуру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Сдавать бумагу на переработку</w:t>
            </w:r>
          </w:p>
        </w:tc>
      </w:tr>
      <w:tr>
        <w:trPr/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Овощные и фруктовые очистки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Использовать для создания компоста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Экомаркировка или гринвошинг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4 – Экомаркировка vs Гринвошинг</w:t>
      </w:r>
    </w:p>
    <w:tbl>
      <w:tblPr>
        <w:tblStyle w:val="Table4"/>
        <w:tblW w:w="9915" w:type="dxa"/>
        <w:jc w:val="left"/>
        <w:tblInd w:w="-4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5"/>
        <w:gridCol w:w="1563"/>
        <w:gridCol w:w="1527"/>
        <w:gridCol w:w="1439"/>
        <w:gridCol w:w="1471"/>
        <w:gridCol w:w="1743"/>
        <w:gridCol w:w="1646"/>
      </w:tblGrid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4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Товар</w:t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Товар</w:t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Описание гринвошинга**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Бумажные полотенца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Zewa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«Листок жизни» (Россия)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Бутылка воды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Evian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Этикетка «100% природная» и голубой цвет ассоциируются с чистотой, но пластик не биоразлагаемый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Органическое молоко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Ecomilk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EU Organic (Европейский зелёный лист)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Одноразовая посуда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Бренд Y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Упаковка с изображением листьев, но продукт не биоразлагаемый и не перерабатывается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Эко-шампунь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Lavera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NATRUE (натуральная косметика)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Шампунь</w:t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Garnier Fructis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Фраза «Эко-формула» без подтверждённой сертификации. В составе есть сульфаты и силиконы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Биоразлагаемые пакеты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u w:val="single"/>
              </w:rPr>
              <w:t>BioBag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highlight w:val="white"/>
              </w:rPr>
              <w:t> 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highlight w:val="white"/>
              </w:rPr>
              <w:t xml:space="preserve">OK Compost (компостируемый продукт)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Пластиковые пакеты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Бренд X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Маркировка «ЭКО» без реального подтверждения, зелёный цвет упаковки вводит в заблуждение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Одежда из органического хлопка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Patagonia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GOTS (Глобальный стандарт органического текстиля)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Одежда из полиэстера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H&amp;M Conscious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Лейбл «экологичный», но нет информации о переработке и реальном снижении загрязнения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Быстрая и медленная мода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  <w:drawing>
          <wp:inline distT="0" distB="0" distL="0" distR="0">
            <wp:extent cx="4953000" cy="28289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hanging="0" w:left="720" w:right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tbl>
      <w:tblPr>
        <w:tblStyle w:val="Table5"/>
        <w:tblW w:w="8635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17"/>
        <w:gridCol w:w="4317"/>
      </w:tblGrid>
      <w:tr>
        <w:trPr/>
        <w:tc>
          <w:tcPr>
            <w:tcW w:w="4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Часто ношу менее 80% гардероба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(варианты оптимизации своего гардероба)</w:t>
            </w:r>
          </w:p>
        </w:tc>
        <w:tc>
          <w:tcPr>
            <w:tcW w:w="4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Часто ношу более 80% гардероба</w:t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(советы другим по оптимизации гардероба)</w:t>
            </w:r>
          </w:p>
        </w:tc>
      </w:tr>
      <w:tr>
        <w:trPr/>
        <w:tc>
          <w:tcPr>
            <w:tcW w:w="4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360" w:left="720"/>
              <w:jc w:val="left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Отдам ненужные вещи нуждающимся.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360" w:left="720"/>
              <w:jc w:val="left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Поучаствую во Фри-маркете.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360" w:left="720"/>
              <w:jc w:val="left"/>
              <w:rPr/>
            </w:pPr>
            <w:r>
              <w:rPr/>
              <w:t>П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родам вещи на </w:t>
            </w: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i/>
                <w:sz w:val="24"/>
                <w:szCs w:val="24"/>
              </w:rPr>
              <w:t>Avito</w:t>
            </w:r>
          </w:p>
          <w:p>
            <w:pPr>
              <w:pStyle w:val="Normal"/>
              <w:numPr>
                <w:ilvl w:val="0"/>
                <w:numId w:val="2"/>
              </w:numPr>
              <w:ind w:hanging="360" w:left="720"/>
              <w:jc w:val="left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Старые ткани можно использовать для создания чего-то нового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200"/>
              <w:ind w:hanging="360" w:left="720"/>
              <w:jc w:val="left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Передам в специальные обменные пункты</w:t>
            </w:r>
          </w:p>
        </w:tc>
        <w:tc>
          <w:tcPr>
            <w:tcW w:w="4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left="72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Если понимаю, что вещь не нужна, то продаю ее.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left="72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Покупаю новые ботинки, если старые уже нельзя отремонтировать у сапожника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left="72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Сдам на переработку если сильно изношена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left="72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Использовать как тряпки для уборки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left="72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/>
              <w:t>Обновлять гардероб с новым сезоном года если вещи уже старые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Выводы: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</w:rPr>
        <w:t xml:space="preserve">Раздельный сбор отходов, принципы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sz w:val="24"/>
          <w:szCs w:val="24"/>
        </w:rPr>
        <w:t>5R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</w:rPr>
        <w:t xml:space="preserve"> и борьба с гринвошингом помогают снизить нагрузку на природу и экономить ресурсы. Важно ориентироваться на проверенные экомаркировки и избегать маркетинговых уловок. Даже ненужную одежду можно переработать, отдать на благотворительность или использовать повторно. Осознанное потребление – это шаг к чищей и более устойчивой планете.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Times New Roman">
    <w:charset w:val="01"/>
    <w:family w:val="auto"/>
    <w:pitch w:val="variable"/>
  </w:font>
  <w:font w:name="Cambria">
    <w:charset w:val="01"/>
    <w:family w:val="auto"/>
    <w:pitch w:val="variable"/>
  </w:font>
  <w:font w:name="Tahoma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1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1">
    <w:name w:val="Содержимое таблицы"/>
    <w:basedOn w:val="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wTp5CWDFagRbO5EVVcFCCMWnxg==">CgMxLjAyCGguZ2pkZ3hzOAByITFIc3VZMkVOU0MyUU9CcDJDSzlXVGd2TEg2M0hEbHJvUg==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LibreOffice/24.8.5.2$Linux_X86_64 LibreOffice_project/27b361b745d0ea8f99bc93dfcb7a39098dfa5fff</Application>
  <AppVersion>15.0000</AppVersion>
  <Pages>5</Pages>
  <Words>642</Words>
  <Characters>4316</Characters>
  <CharactersWithSpaces>4840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2020-07-30T15:10:00Z</dcterms:created>
  <dc:creator>User</dc:creator>
  <dc:description/>
  <dc:language>ru-RU</dc:language>
  <cp:lastModifiedBy/>
  <dcterms:modified xsi:type="dcterms:W3CDTF">2025-03-16T20:26:26Z</dcterms:modified>
  <cp:revision>1</cp:revision>
  <dc:subject/>
  <dc:title/>
</cp:coreProperties>
</file>