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appendix-a-solution-architecture"/>
    <w:p>
      <w:pPr>
        <w:pStyle w:val="Heading1"/>
      </w:pPr>
      <w:r>
        <w:t xml:space="preserve">Appendix A – Solution Architecture</w:t>
      </w:r>
    </w:p>
    <w:bookmarkStart w:id="25" w:name="overview"/>
    <w:p>
      <w:pPr>
        <w:pStyle w:val="Heading2"/>
      </w:pPr>
      <w:r>
        <w:t xml:space="preserve">Overview</w:t>
      </w:r>
    </w:p>
    <w:p>
      <w:pPr>
        <w:pStyle w:val="FirstParagraph"/>
      </w:pPr>
      <w:r>
        <w:t xml:space="preserve">This appendix describes the overall architecture of the digital wallet and verifiable credentials solution. It covers the high‑level context, logical components, deployment topology and key integration points with existing WA government infrastructure. The goal is to provide a clear picture of how the managed wallet service interacts with the ServiceWA app, issuers, verifiers, trust registries and the broader identity ecosystem.</w:t>
      </w:r>
    </w:p>
    <w:bookmarkStart w:id="21" w:name="highlevel-context"/>
    <w:p>
      <w:pPr>
        <w:pStyle w:val="Heading3"/>
      </w:pPr>
      <w:r>
        <w:t xml:space="preserve">High‑level context</w:t>
      </w:r>
    </w:p>
    <w:p>
      <w:pPr>
        <w:pStyle w:val="FirstParagraph"/>
      </w:pPr>
      <w:r>
        <w:t xml:space="preserve">The following sequence diagram illustrates the core interactions between a citizen, the ServiceWA app (with embedded SDK), an issuer agency, the managed wallet service, the trust registry and a verifier. It summarises credential issuance and presentation flows and highlights where PKI and trust services are used.</w:t>
      </w:r>
    </w:p>
    <w:p>
      <w:pPr>
        <w:pStyle w:val="SourceCode"/>
      </w:pPr>
      <w:r>
        <w:rPr>
          <w:rStyle w:val="VerbatimChar"/>
        </w:rPr>
        <w:t xml:space="preserve">sequenceDiagram</w:t>
      </w:r>
      <w:r>
        <w:br/>
      </w:r>
      <w:r>
        <w:rPr>
          <w:rStyle w:val="VerbatimChar"/>
        </w:rPr>
        <w:t xml:space="preserve">    participant Citizen</w:t>
      </w:r>
      <w:r>
        <w:br/>
      </w:r>
      <w:r>
        <w:rPr>
          <w:rStyle w:val="VerbatimChar"/>
        </w:rPr>
        <w:t xml:space="preserve">    participant ServiceWA as ServiceWA App + SDK</w:t>
      </w:r>
      <w:r>
        <w:br/>
      </w:r>
      <w:r>
        <w:rPr>
          <w:rStyle w:val="VerbatimChar"/>
        </w:rPr>
        <w:t xml:space="preserve">    participant Issuer</w:t>
      </w:r>
      <w:r>
        <w:br/>
      </w:r>
      <w:r>
        <w:rPr>
          <w:rStyle w:val="VerbatimChar"/>
        </w:rPr>
        <w:t xml:space="preserve">    participant WalletSvc as Wallet Managed Service</w:t>
      </w:r>
      <w:r>
        <w:br/>
      </w:r>
      <w:r>
        <w:rPr>
          <w:rStyle w:val="VerbatimChar"/>
        </w:rPr>
        <w:t xml:space="preserve">    participant TrustRegistry</w:t>
      </w:r>
      <w:r>
        <w:br/>
      </w:r>
      <w:r>
        <w:rPr>
          <w:rStyle w:val="VerbatimChar"/>
        </w:rPr>
        <w:t xml:space="preserve">    participant Verifier</w:t>
      </w:r>
      <w:r>
        <w:br/>
      </w:r>
      <w:r>
        <w:rPr>
          <w:rStyle w:val="VerbatimChar"/>
        </w:rPr>
        <w:t xml:space="preserve">    %% Issuance flow</w:t>
      </w:r>
      <w:r>
        <w:br/>
      </w:r>
      <w:r>
        <w:rPr>
          <w:rStyle w:val="VerbatimChar"/>
        </w:rPr>
        <w:t xml:space="preserve">    Citizen-&gt;&gt;ServiceWA: Initiate credential request (select credential)</w:t>
      </w:r>
      <w:r>
        <w:br/>
      </w:r>
      <w:r>
        <w:rPr>
          <w:rStyle w:val="VerbatimChar"/>
        </w:rPr>
        <w:t xml:space="preserve">    ServiceWA-&gt;&gt;WalletSvc: OIDC PAR/PKCE auth</w:t>
      </w:r>
      <w:r>
        <w:br/>
      </w:r>
      <w:r>
        <w:rPr>
          <w:rStyle w:val="VerbatimChar"/>
        </w:rPr>
        <w:t xml:space="preserve">    WalletSvc-&gt;&gt;Issuer: Authenticate &amp; request credential</w:t>
      </w:r>
      <w:r>
        <w:br/>
      </w:r>
      <w:r>
        <w:rPr>
          <w:rStyle w:val="VerbatimChar"/>
        </w:rPr>
        <w:t xml:space="preserve">    Issuer--&gt;&gt;WalletSvc: Verifiable Credential (signed)</w:t>
      </w:r>
      <w:r>
        <w:br/>
      </w:r>
      <w:r>
        <w:rPr>
          <w:rStyle w:val="VerbatimChar"/>
        </w:rPr>
        <w:t xml:space="preserve">    WalletSvc-&gt;&gt;TrustRegistry: Publish issuer certificate &amp; status</w:t>
      </w:r>
      <w:r>
        <w:br/>
      </w:r>
      <w:r>
        <w:rPr>
          <w:rStyle w:val="VerbatimChar"/>
        </w:rPr>
        <w:t xml:space="preserve">    WalletSvc--&gt;&gt;ServiceWA: Return VC payload</w:t>
      </w:r>
      <w:r>
        <w:br/>
      </w:r>
      <w:r>
        <w:rPr>
          <w:rStyle w:val="VerbatimChar"/>
        </w:rPr>
        <w:t xml:space="preserve">    ServiceWA--&gt;&gt;Citizen: Store credential in secure enclave</w:t>
      </w:r>
      <w:r>
        <w:br/>
      </w:r>
      <w:r>
        <w:rPr>
          <w:rStyle w:val="VerbatimChar"/>
        </w:rPr>
        <w:t xml:space="preserve">    %% Presentation flow (online)</w:t>
      </w:r>
      <w:r>
        <w:br/>
      </w:r>
      <w:r>
        <w:rPr>
          <w:rStyle w:val="VerbatimChar"/>
        </w:rPr>
        <w:t xml:space="preserve">    Citizen-&gt;&gt;ServiceWA: Present credential (QR/NFC)</w:t>
      </w:r>
      <w:r>
        <w:br/>
      </w:r>
      <w:r>
        <w:rPr>
          <w:rStyle w:val="VerbatimChar"/>
        </w:rPr>
        <w:t xml:space="preserve">    ServiceWA-&gt;&gt;WalletSvc: Generate presentation &amp; proof</w:t>
      </w:r>
      <w:r>
        <w:br/>
      </w:r>
      <w:r>
        <w:rPr>
          <w:rStyle w:val="VerbatimChar"/>
        </w:rPr>
        <w:t xml:space="preserve">    WalletSvc-&gt;&gt;TrustRegistry: Retrieve issuer &amp; verifier trust info</w:t>
      </w:r>
      <w:r>
        <w:br/>
      </w:r>
      <w:r>
        <w:rPr>
          <w:rStyle w:val="VerbatimChar"/>
        </w:rPr>
        <w:t xml:space="preserve">    Verifier-&gt;&gt;WalletSvc: Verify presentation (OIDC4VP)</w:t>
      </w:r>
      <w:r>
        <w:br/>
      </w:r>
      <w:r>
        <w:rPr>
          <w:rStyle w:val="VerbatimChar"/>
        </w:rPr>
        <w:t xml:space="preserve">    WalletSvc--&gt;&gt;Verifier: Verification result &amp; status check</w:t>
      </w:r>
      <w:r>
        <w:br/>
      </w:r>
      <w:r>
        <w:rPr>
          <w:rStyle w:val="VerbatimChar"/>
        </w:rPr>
        <w:t xml:space="preserve">    Verifier--&gt;&gt;Citizen: Access granted/denied</w:t>
      </w:r>
      <w:r>
        <w:br/>
      </w:r>
      <w:r>
        <w:rPr>
          <w:rStyle w:val="VerbatimChar"/>
        </w:rPr>
        <w:t xml:space="preserve">    %% Revocation/update</w:t>
      </w:r>
      <w:r>
        <w:br/>
      </w:r>
      <w:r>
        <w:rPr>
          <w:rStyle w:val="VerbatimChar"/>
        </w:rPr>
        <w:t xml:space="preserve">    Issuer-&gt;&gt;WalletSvc: Revoke or update credential</w:t>
      </w:r>
      <w:r>
        <w:br/>
      </w:r>
      <w:r>
        <w:rPr>
          <w:rStyle w:val="VerbatimChar"/>
        </w:rPr>
        <w:t xml:space="preserve">    WalletSvc-&gt;&gt;ServiceWA: Notify of revocation/update</w:t>
      </w:r>
      <w:r>
        <w:br/>
      </w:r>
      <w:r>
        <w:rPr>
          <w:rStyle w:val="VerbatimChar"/>
        </w:rPr>
        <w:t xml:space="preserve">    ServiceWA--&gt;&gt;Citizen: Display revocation/update message</w:t>
      </w:r>
    </w:p>
    <w:bookmarkEnd w:id="21"/>
    <w:bookmarkStart w:id="22" w:name="logical-architecture"/>
    <w:p>
      <w:pPr>
        <w:pStyle w:val="Heading3"/>
      </w:pPr>
      <w:r>
        <w:t xml:space="preserve">Logical architecture</w:t>
      </w:r>
    </w:p>
    <w:p>
      <w:pPr>
        <w:pStyle w:val="FirstParagraph"/>
      </w:pPr>
      <w:r>
        <w:t xml:space="preserve">At a high level, the solution consists of the following subsystems:</w:t>
      </w:r>
    </w:p>
    <w:p>
      <w:pPr>
        <w:pStyle w:val="Compact"/>
        <w:numPr>
          <w:ilvl w:val="0"/>
          <w:numId w:val="1001"/>
        </w:numPr>
      </w:pPr>
      <w:r>
        <w:rPr>
          <w:b/>
          <w:bCs/>
        </w:rPr>
        <w:t xml:space="preserve">Mobile Wallet SDK (Flutter)</w:t>
      </w:r>
      <w:r>
        <w:t xml:space="preserve"> </w:t>
      </w:r>
      <w:r>
        <w:t xml:space="preserve">– Embedded in ServiceWA. Provides local credential storage, OIDC authentication, secure key storage, offline presentation, selective disclosure and device recovery. Communicates with the managed service via REST APIs.</w:t>
      </w:r>
    </w:p>
    <w:p>
      <w:pPr>
        <w:pStyle w:val="Compact"/>
        <w:numPr>
          <w:ilvl w:val="0"/>
          <w:numId w:val="1001"/>
        </w:numPr>
      </w:pPr>
      <w:r>
        <w:rPr>
          <w:b/>
          <w:bCs/>
        </w:rPr>
        <w:t xml:space="preserve">Wallet Managed Service (SaaS)</w:t>
      </w:r>
      <w:r>
        <w:t xml:space="preserve"> </w:t>
      </w:r>
      <w:r>
        <w:t xml:space="preserve">– A multi‑tenant platform implemented in .NET running on Azure Container Apps. Provides APIs for issuance, presentation/verification, revocation, trust management and admin functions. Handles PKI, key binding, status lists and analytics. Uses PostgreSQL (per‑tenant or shared with RLS) for storage and Azure Key Vault for secrets.</w:t>
      </w:r>
    </w:p>
    <w:p>
      <w:pPr>
        <w:pStyle w:val="Compact"/>
        <w:numPr>
          <w:ilvl w:val="0"/>
          <w:numId w:val="1001"/>
        </w:numPr>
      </w:pPr>
      <w:r>
        <w:rPr>
          <w:b/>
          <w:bCs/>
        </w:rPr>
        <w:t xml:space="preserve">Public Key Infrastructure (PKI)</w:t>
      </w:r>
      <w:r>
        <w:t xml:space="preserve"> </w:t>
      </w:r>
      <w:r>
        <w:t xml:space="preserve">– A hierarchical CA structure with a root CA managed by DGov; subordinate CAs (Issuer Authority Certificate Authorities – IACAs) managed by the wallet service. Issues document signing certificates and maintains certificate revocation lists (CRLs) and status lists.</w:t>
      </w:r>
    </w:p>
    <w:p>
      <w:pPr>
        <w:pStyle w:val="Compact"/>
        <w:numPr>
          <w:ilvl w:val="0"/>
          <w:numId w:val="1001"/>
        </w:numPr>
      </w:pPr>
      <w:r>
        <w:rPr>
          <w:b/>
          <w:bCs/>
        </w:rPr>
        <w:t xml:space="preserve">Trust Registry</w:t>
      </w:r>
      <w:r>
        <w:t xml:space="preserve"> </w:t>
      </w:r>
      <w:r>
        <w:t xml:space="preserve">– Stores lists of trusted issuers, wallet providers and verifiers. Maintains trust lists and fingerprints. Exposes APIs for verifiers to retrieve trust anchors and certificates.</w:t>
      </w:r>
    </w:p>
    <w:p>
      <w:pPr>
        <w:pStyle w:val="Compact"/>
        <w:numPr>
          <w:ilvl w:val="0"/>
          <w:numId w:val="1001"/>
        </w:numPr>
      </w:pPr>
      <w:r>
        <w:rPr>
          <w:b/>
          <w:bCs/>
        </w:rPr>
        <w:t xml:space="preserve">Digital Trust Platform (DTP)</w:t>
      </w:r>
      <w:r>
        <w:t xml:space="preserve"> </w:t>
      </w:r>
      <w:r>
        <w:t xml:space="preserve">– Provided by DGov; acts as the back‑end for ServiceWA. Supplies credential objects to the wallet service and manages identity federation via the WA Identity Exchange (IdX). DGov also handles custom integration code for agency enrolment flows.</w:t>
      </w:r>
    </w:p>
    <w:p>
      <w:pPr>
        <w:pStyle w:val="Compact"/>
        <w:numPr>
          <w:ilvl w:val="0"/>
          <w:numId w:val="1001"/>
        </w:numPr>
      </w:pPr>
      <w:r>
        <w:rPr>
          <w:b/>
          <w:bCs/>
        </w:rPr>
        <w:t xml:space="preserve">Identity Providers</w:t>
      </w:r>
      <w:r>
        <w:t xml:space="preserve"> </w:t>
      </w:r>
      <w:r>
        <w:t xml:space="preserve">– WA Identity Exchange or agency identity providers (OIDC/SAML). Perform user and administrative authentication and provide identity claims.</w:t>
      </w:r>
    </w:p>
    <w:p>
      <w:pPr>
        <w:pStyle w:val="Compact"/>
        <w:numPr>
          <w:ilvl w:val="0"/>
          <w:numId w:val="1001"/>
        </w:numPr>
      </w:pPr>
      <w:r>
        <w:rPr>
          <w:b/>
          <w:bCs/>
        </w:rPr>
        <w:t xml:space="preserve">Admin Portal &amp; Dashboards</w:t>
      </w:r>
      <w:r>
        <w:t xml:space="preserve"> </w:t>
      </w:r>
      <w:r>
        <w:t xml:space="preserve">– A secure web interface for DGov administrators and agency operators to configure tenants, manage credentials, view logs, set policies and generate reports. Implements RBAC and MFA.</w:t>
      </w:r>
    </w:p>
    <w:p>
      <w:pPr>
        <w:pStyle w:val="Compact"/>
        <w:numPr>
          <w:ilvl w:val="0"/>
          <w:numId w:val="1001"/>
        </w:numPr>
      </w:pPr>
      <w:r>
        <w:rPr>
          <w:b/>
          <w:bCs/>
        </w:rPr>
        <w:t xml:space="preserve">Observability &amp; Monitoring</w:t>
      </w:r>
      <w:r>
        <w:t xml:space="preserve"> </w:t>
      </w:r>
      <w:r>
        <w:t xml:space="preserve">– Utilises Azure Monitor, Application Insights, Event Hubs and Log Analytics to collect telemetry, metrics and logs. Feeds dashboards and consumption reports.</w:t>
      </w:r>
    </w:p>
    <w:bookmarkEnd w:id="22"/>
    <w:bookmarkStart w:id="23" w:name="deployment-diagram"/>
    <w:p>
      <w:pPr>
        <w:pStyle w:val="Heading3"/>
      </w:pPr>
      <w:r>
        <w:t xml:space="preserve">Deployment diagram</w:t>
      </w:r>
    </w:p>
    <w:p>
      <w:pPr>
        <w:pStyle w:val="FirstParagraph"/>
      </w:pPr>
      <w:r>
        <w:t xml:space="preserve">The following Mermaid diagram describes the proposed deployment in Azure. It emphasises network tiers, high availability, multi‑tenancy and secure connectivity.</w:t>
      </w:r>
    </w:p>
    <w:p>
      <w:pPr>
        <w:pStyle w:val="SourceCode"/>
      </w:pPr>
      <w:r>
        <w:rPr>
          <w:rStyle w:val="VerbatimChar"/>
        </w:rPr>
        <w:t xml:space="preserve">flowchart TD</w:t>
      </w:r>
      <w:r>
        <w:br/>
      </w:r>
      <w:r>
        <w:rPr>
          <w:rStyle w:val="VerbatimChar"/>
        </w:rPr>
        <w:t xml:space="preserve">    subgraph Internet</w:t>
      </w:r>
      <w:r>
        <w:br/>
      </w:r>
      <w:r>
        <w:rPr>
          <w:rStyle w:val="VerbatimChar"/>
        </w:rPr>
        <w:t xml:space="preserve">        Citizen</w:t>
      </w:r>
      <w:r>
        <w:br/>
      </w:r>
      <w:r>
        <w:rPr>
          <w:rStyle w:val="VerbatimChar"/>
        </w:rPr>
        <w:t xml:space="preserve">        Verifier</w:t>
      </w:r>
      <w:r>
        <w:br/>
      </w:r>
      <w:r>
        <w:rPr>
          <w:rStyle w:val="VerbatimChar"/>
        </w:rPr>
        <w:t xml:space="preserve">    end</w:t>
      </w:r>
      <w:r>
        <w:br/>
      </w:r>
      <w:r>
        <w:rPr>
          <w:rStyle w:val="VerbatimChar"/>
        </w:rPr>
        <w:t xml:space="preserve">    subgraph Azure_Front</w:t>
      </w:r>
      <w:r>
        <w:br/>
      </w:r>
      <w:r>
        <w:rPr>
          <w:rStyle w:val="VerbatimChar"/>
        </w:rPr>
        <w:t xml:space="preserve">        AFD["Azure Front Door (WAF)"]</w:t>
      </w:r>
      <w:r>
        <w:br/>
      </w:r>
      <w:r>
        <w:rPr>
          <w:rStyle w:val="VerbatimChar"/>
        </w:rPr>
        <w:t xml:space="preserve">    end</w:t>
      </w:r>
      <w:r>
        <w:br/>
      </w:r>
      <w:r>
        <w:rPr>
          <w:rStyle w:val="VerbatimChar"/>
        </w:rPr>
        <w:t xml:space="preserve">    subgraph DMZ</w:t>
      </w:r>
      <w:r>
        <w:br/>
      </w:r>
      <w:r>
        <w:rPr>
          <w:rStyle w:val="VerbatimChar"/>
        </w:rPr>
        <w:t xml:space="preserve">        AppGW["Application Gateway + WAF"]</w:t>
      </w:r>
      <w:r>
        <w:br/>
      </w:r>
      <w:r>
        <w:rPr>
          <w:rStyle w:val="VerbatimChar"/>
        </w:rPr>
        <w:t xml:space="preserve">    end</w:t>
      </w:r>
      <w:r>
        <w:br/>
      </w:r>
      <w:r>
        <w:rPr>
          <w:rStyle w:val="VerbatimChar"/>
        </w:rPr>
        <w:t xml:space="preserve">    subgraph AKSCluster["AKS/Container Apps – Wallet Service"]</w:t>
      </w:r>
      <w:r>
        <w:br/>
      </w:r>
      <w:r>
        <w:rPr>
          <w:rStyle w:val="VerbatimChar"/>
        </w:rPr>
        <w:t xml:space="preserve">        APIGW["API Gateway"]</w:t>
      </w:r>
      <w:r>
        <w:br/>
      </w:r>
      <w:r>
        <w:rPr>
          <w:rStyle w:val="VerbatimChar"/>
        </w:rPr>
        <w:t xml:space="preserve">        WalletSvc["Wallet Service Pods"]</w:t>
      </w:r>
      <w:r>
        <w:br/>
      </w:r>
      <w:r>
        <w:rPr>
          <w:rStyle w:val="VerbatimChar"/>
        </w:rPr>
        <w:t xml:space="preserve">        TrustSvc["Trust Registry Pods"]</w:t>
      </w:r>
      <w:r>
        <w:br/>
      </w:r>
      <w:r>
        <w:rPr>
          <w:rStyle w:val="VerbatimChar"/>
        </w:rPr>
        <w:t xml:space="preserve">        AdminUI["Admin Portal"]</w:t>
      </w:r>
      <w:r>
        <w:br/>
      </w:r>
      <w:r>
        <w:rPr>
          <w:rStyle w:val="VerbatimChar"/>
        </w:rPr>
        <w:t xml:space="preserve">    end</w:t>
      </w:r>
      <w:r>
        <w:br/>
      </w:r>
      <w:r>
        <w:rPr>
          <w:rStyle w:val="VerbatimChar"/>
        </w:rPr>
        <w:t xml:space="preserve">    subgraph DataLayer["Data &amp; Key Management"]</w:t>
      </w:r>
      <w:r>
        <w:br/>
      </w:r>
      <w:r>
        <w:rPr>
          <w:rStyle w:val="VerbatimChar"/>
        </w:rPr>
        <w:t xml:space="preserve">        PG_TenantA["PostgreSQL DB (Tenant A)"]</w:t>
      </w:r>
      <w:r>
        <w:br/>
      </w:r>
      <w:r>
        <w:rPr>
          <w:rStyle w:val="VerbatimChar"/>
        </w:rPr>
        <w:t xml:space="preserve">        PG_TenantB["PostgreSQL DB (Tenant B)"]</w:t>
      </w:r>
      <w:r>
        <w:br/>
      </w:r>
      <w:r>
        <w:rPr>
          <w:rStyle w:val="VerbatimChar"/>
        </w:rPr>
        <w:t xml:space="preserve">        KeyVault["Azure Key Vault / HSM"]</w:t>
      </w:r>
      <w:r>
        <w:br/>
      </w:r>
      <w:r>
        <w:rPr>
          <w:rStyle w:val="VerbatimChar"/>
        </w:rPr>
        <w:t xml:space="preserve">        Storage["Azure Storage (Blobs, Logs)"]</w:t>
      </w:r>
      <w:r>
        <w:br/>
      </w:r>
      <w:r>
        <w:rPr>
          <w:rStyle w:val="VerbatimChar"/>
        </w:rPr>
        <w:t xml:space="preserve">    end</w:t>
      </w:r>
      <w:r>
        <w:br/>
      </w:r>
      <w:r>
        <w:rPr>
          <w:rStyle w:val="VerbatimChar"/>
        </w:rPr>
        <w:t xml:space="preserve">    subgraph Integration</w:t>
      </w:r>
      <w:r>
        <w:br/>
      </w:r>
      <w:r>
        <w:rPr>
          <w:rStyle w:val="VerbatimChar"/>
        </w:rPr>
        <w:t xml:space="preserve">        IdX["WA Identity Exchange / OIDC IdPs"]</w:t>
      </w:r>
      <w:r>
        <w:br/>
      </w:r>
      <w:r>
        <w:rPr>
          <w:rStyle w:val="VerbatimChar"/>
        </w:rPr>
        <w:t xml:space="preserve">        DTP["Digital Trust Platform"]</w:t>
      </w:r>
      <w:r>
        <w:br/>
      </w:r>
      <w:r>
        <w:rPr>
          <w:rStyle w:val="VerbatimChar"/>
        </w:rPr>
        <w:t xml:space="preserve">        Issuers["Agency Issuers"]</w:t>
      </w:r>
      <w:r>
        <w:br/>
      </w:r>
      <w:r>
        <w:rPr>
          <w:rStyle w:val="VerbatimChar"/>
        </w:rPr>
        <w:t xml:space="preserve">    end</w:t>
      </w:r>
      <w:r>
        <w:br/>
      </w:r>
      <w:r>
        <w:rPr>
          <w:rStyle w:val="VerbatimChar"/>
        </w:rPr>
        <w:t xml:space="preserve">    subgraph Observability</w:t>
      </w:r>
      <w:r>
        <w:br/>
      </w:r>
      <w:r>
        <w:rPr>
          <w:rStyle w:val="VerbatimChar"/>
        </w:rPr>
        <w:t xml:space="preserve">        Monitor["Azure Monitor &amp; Log Analytics"]</w:t>
      </w:r>
      <w:r>
        <w:br/>
      </w:r>
      <w:r>
        <w:rPr>
          <w:rStyle w:val="VerbatimChar"/>
        </w:rPr>
        <w:t xml:space="preserve">    end</w:t>
      </w:r>
      <w:r>
        <w:br/>
      </w:r>
      <w:r>
        <w:rPr>
          <w:rStyle w:val="VerbatimChar"/>
        </w:rPr>
        <w:t xml:space="preserve">    Citizen -- HTTPS --&gt; AFD</w:t>
      </w:r>
      <w:r>
        <w:br/>
      </w:r>
      <w:r>
        <w:rPr>
          <w:rStyle w:val="VerbatimChar"/>
        </w:rPr>
        <w:t xml:space="preserve">    Verifier -- HTTPS --&gt; AFD</w:t>
      </w:r>
      <w:r>
        <w:br/>
      </w:r>
      <w:r>
        <w:rPr>
          <w:rStyle w:val="VerbatimChar"/>
        </w:rPr>
        <w:t xml:space="preserve">    AFD -- TLS1.3/HTTP2 --&gt; AppGW</w:t>
      </w:r>
      <w:r>
        <w:br/>
      </w:r>
      <w:r>
        <w:rPr>
          <w:rStyle w:val="VerbatimChar"/>
        </w:rPr>
        <w:t xml:space="preserve">    AppGW -- mTLS --&gt; APIGW</w:t>
      </w:r>
      <w:r>
        <w:br/>
      </w:r>
      <w:r>
        <w:rPr>
          <w:rStyle w:val="VerbatimChar"/>
        </w:rPr>
        <w:t xml:space="preserve">    APIGW --&gt; WalletSvc</w:t>
      </w:r>
      <w:r>
        <w:br/>
      </w:r>
      <w:r>
        <w:rPr>
          <w:rStyle w:val="VerbatimChar"/>
        </w:rPr>
        <w:t xml:space="preserve">    APIGW --&gt; TrustSvc</w:t>
      </w:r>
      <w:r>
        <w:br/>
      </w:r>
      <w:r>
        <w:rPr>
          <w:rStyle w:val="VerbatimChar"/>
        </w:rPr>
        <w:t xml:space="preserve">    APIGW --&gt; AdminUI</w:t>
      </w:r>
      <w:r>
        <w:br/>
      </w:r>
      <w:r>
        <w:rPr>
          <w:rStyle w:val="VerbatimChar"/>
        </w:rPr>
        <w:t xml:space="preserve">    WalletSvc -- SQL over TLS --&gt; PG_TenantA</w:t>
      </w:r>
      <w:r>
        <w:br/>
      </w:r>
      <w:r>
        <w:rPr>
          <w:rStyle w:val="VerbatimChar"/>
        </w:rPr>
        <w:t xml:space="preserve">    WalletSvc -- SQL over TLS --&gt; PG_TenantB</w:t>
      </w:r>
      <w:r>
        <w:br/>
      </w:r>
      <w:r>
        <w:rPr>
          <w:rStyle w:val="VerbatimChar"/>
        </w:rPr>
        <w:t xml:space="preserve">    WalletSvc -- Secrets --&gt; KeyVault</w:t>
      </w:r>
      <w:r>
        <w:br/>
      </w:r>
      <w:r>
        <w:rPr>
          <w:rStyle w:val="VerbatimChar"/>
        </w:rPr>
        <w:t xml:space="preserve">    TrustSvc -- Secrets --&gt; KeyVault</w:t>
      </w:r>
      <w:r>
        <w:br/>
      </w:r>
      <w:r>
        <w:rPr>
          <w:rStyle w:val="VerbatimChar"/>
        </w:rPr>
        <w:t xml:space="preserve">    WalletSvc -- Blob --&gt; Storage</w:t>
      </w:r>
      <w:r>
        <w:br/>
      </w:r>
      <w:r>
        <w:rPr>
          <w:rStyle w:val="VerbatimChar"/>
        </w:rPr>
        <w:t xml:space="preserve">    AdminUI -- SQL over TLS --&gt; PG_TenantA</w:t>
      </w:r>
      <w:r>
        <w:br/>
      </w:r>
      <w:r>
        <w:rPr>
          <w:rStyle w:val="VerbatimChar"/>
        </w:rPr>
        <w:t xml:space="preserve">    APIGW --&gt; IdX</w:t>
      </w:r>
      <w:r>
        <w:br/>
      </w:r>
      <w:r>
        <w:rPr>
          <w:rStyle w:val="VerbatimChar"/>
        </w:rPr>
        <w:t xml:space="preserve">    APIGW --&gt; DTP</w:t>
      </w:r>
      <w:r>
        <w:br/>
      </w:r>
      <w:r>
        <w:rPr>
          <w:rStyle w:val="VerbatimChar"/>
        </w:rPr>
        <w:t xml:space="preserve">    DTP --&gt; Issuers</w:t>
      </w:r>
      <w:r>
        <w:br/>
      </w:r>
      <w:r>
        <w:rPr>
          <w:rStyle w:val="VerbatimChar"/>
        </w:rPr>
        <w:t xml:space="preserve">    Monitor --&gt; Storage</w:t>
      </w:r>
      <w:r>
        <w:br/>
      </w:r>
      <w:r>
        <w:rPr>
          <w:rStyle w:val="VerbatimChar"/>
        </w:rPr>
        <w:t xml:space="preserve">    Monitor --&gt; WalletSvc</w:t>
      </w:r>
      <w:r>
        <w:br/>
      </w:r>
      <w:r>
        <w:rPr>
          <w:rStyle w:val="VerbatimChar"/>
        </w:rPr>
        <w:t xml:space="preserve">    Monitor --&gt; TrustSvc</w:t>
      </w:r>
      <w:r>
        <w:br/>
      </w:r>
      <w:r>
        <w:rPr>
          <w:rStyle w:val="VerbatimChar"/>
        </w:rPr>
        <w:t xml:space="preserve">    Monitor --&gt; AdminUI</w:t>
      </w:r>
    </w:p>
    <w:bookmarkEnd w:id="23"/>
    <w:bookmarkStart w:id="24" w:name="integration-points"/>
    <w:p>
      <w:pPr>
        <w:pStyle w:val="Heading3"/>
      </w:pPr>
      <w:r>
        <w:t xml:space="preserve">Integration points</w:t>
      </w:r>
    </w:p>
    <w:p>
      <w:pPr>
        <w:pStyle w:val="Compact"/>
        <w:numPr>
          <w:ilvl w:val="0"/>
          <w:numId w:val="1002"/>
        </w:numPr>
      </w:pPr>
      <w:r>
        <w:rPr>
          <w:b/>
          <w:bCs/>
        </w:rPr>
        <w:t xml:space="preserve">ServiceWA SDK integration:</w:t>
      </w:r>
      <w:r>
        <w:t xml:space="preserve"> </w:t>
      </w:r>
      <w:r>
        <w:t xml:space="preserve">The Flutter SDK uses OIDC PAR/PKCE to authenticate the citizen and exchanges tokens for credential issuance. It also interacts with the Wallet Managed Service for presentation/verification and calls the WA Identity Exchange for federated login when necessary.</w:t>
      </w:r>
    </w:p>
    <w:p>
      <w:pPr>
        <w:pStyle w:val="Compact"/>
        <w:numPr>
          <w:ilvl w:val="0"/>
          <w:numId w:val="1002"/>
        </w:numPr>
      </w:pPr>
      <w:r>
        <w:rPr>
          <w:b/>
          <w:bCs/>
        </w:rPr>
        <w:t xml:space="preserve">Agency integration:</w:t>
      </w:r>
      <w:r>
        <w:t xml:space="preserve"> </w:t>
      </w:r>
      <w:r>
        <w:t xml:space="preserve">Agencies connect to DGov’s DTP to supply credential data. DGov handles the integration code; our service ingests credential objects from DTP and transforms them into verifiable credentials for wallet delivery. Agencies can also use the .NET SDK to interact directly with the wallet service if delegated.</w:t>
      </w:r>
    </w:p>
    <w:p>
      <w:pPr>
        <w:pStyle w:val="Compact"/>
        <w:numPr>
          <w:ilvl w:val="0"/>
          <w:numId w:val="1002"/>
        </w:numPr>
      </w:pPr>
      <w:r>
        <w:rPr>
          <w:b/>
          <w:bCs/>
        </w:rPr>
        <w:t xml:space="preserve">Verifier integration:</w:t>
      </w:r>
      <w:r>
        <w:t xml:space="preserve"> </w:t>
      </w:r>
      <w:r>
        <w:t xml:space="preserve">Verifiers integrate via the web SDK or backend API to receive and verify presentations. They fetch trust lists and status information from the trust registry and call the verification endpoint to obtain validity results. In offline scenarios verifiers can validate presentations using embedded certificates and offline status lists.</w:t>
      </w:r>
    </w:p>
    <w:p>
      <w:pPr>
        <w:pStyle w:val="Compact"/>
        <w:numPr>
          <w:ilvl w:val="0"/>
          <w:numId w:val="1002"/>
        </w:numPr>
      </w:pPr>
      <w:r>
        <w:rPr>
          <w:b/>
          <w:bCs/>
        </w:rPr>
        <w:t xml:space="preserve">PKI &amp; trust:</w:t>
      </w:r>
      <w:r>
        <w:t xml:space="preserve"> </w:t>
      </w:r>
      <w:r>
        <w:t xml:space="preserve">The wallet service generates and manages subordinate CAs and document signing keys. DGov hosts the root CA/HSM. The service publishes status lists and trust lists to the trust registry. Verifiers and wallets use these lists to validate certificates.</w:t>
      </w:r>
    </w:p>
    <w:p>
      <w:pPr>
        <w:pStyle w:val="Compact"/>
        <w:numPr>
          <w:ilvl w:val="0"/>
          <w:numId w:val="1002"/>
        </w:numPr>
      </w:pPr>
      <w:r>
        <w:rPr>
          <w:b/>
          <w:bCs/>
        </w:rPr>
        <w:t xml:space="preserve">Observability:</w:t>
      </w:r>
      <w:r>
        <w:t xml:space="preserve"> </w:t>
      </w:r>
      <w:r>
        <w:t xml:space="preserve">Telemetry flows to Azure Monitor and Log Analytics via Event Hubs. Dashboards provide metrics on issuance volume, verification success rates, latency, error rates and SLA compliance. Consumption reports use this data for billing and operational insights.</w:t>
      </w:r>
    </w:p>
    <w:p>
      <w:pPr>
        <w:pStyle w:val="FirstParagraph"/>
      </w:pPr>
      <w:r>
        <w:t xml:space="preserve">The architecture supports future enhancements such as optional biometrics, additional credential types, and cross‑jurisdictional verification by virtue of open standards and modular services.</w:t>
      </w:r>
    </w:p>
    <w:bookmarkEnd w:id="24"/>
    <w:bookmarkEnd w:id="25"/>
    <w:bookmarkEnd w:id="26"/>
    <w:bookmarkEnd w:id="27"/>
    <w:p>
      <w:r>
        <w:pict>
          <v:rect style="width:0;height:1.5pt" o:hralign="center" o:hrstd="t" o:hr="t"/>
        </w:pict>
      </w:r>
    </w:p>
    <w:bookmarkStart w:id="28" w:name="citations"/>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2025-09-09T01:28:56Z</dcterms:created>
  <dcterms:modified xsi:type="dcterms:W3CDTF">2025-09-09T01:28:56Z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