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24FD" w14:textId="1F7646F6" w:rsidR="00F46ECE" w:rsidRDefault="00000000" w:rsidP="00590DBD">
      <w:pPr>
        <w:jc w:val="center"/>
        <w:rPr>
          <w:rFonts w:hint="eastAsia"/>
        </w:rPr>
      </w:pPr>
      <w:proofErr w:type="spellStart"/>
      <w:r>
        <w:rPr>
          <w:b/>
          <w:sz w:val="48"/>
        </w:rPr>
        <w:t>CreditMitra</w:t>
      </w:r>
      <w:proofErr w:type="spellEnd"/>
      <w:r w:rsidR="00CD279C">
        <w:rPr>
          <w:b/>
          <w:sz w:val="48"/>
        </w:rPr>
        <w:t xml:space="preserve"> weekly report</w:t>
      </w:r>
    </w:p>
    <w:p w14:paraId="3CB1EFA7" w14:textId="77777777" w:rsidR="00F46ECE" w:rsidRDefault="00000000">
      <w:pPr>
        <w:pStyle w:val="Heading1"/>
      </w:pPr>
      <w:r>
        <w:t>1. Purpose and Scope</w:t>
      </w:r>
    </w:p>
    <w:p w14:paraId="1143A92C" w14:textId="77777777" w:rsidR="00F46ECE" w:rsidRDefault="00000000">
      <w:pPr>
        <w:rPr>
          <w:rFonts w:hint="eastAsia"/>
        </w:rPr>
      </w:pPr>
      <w:r>
        <w:t>The CreditMitra Merchant Intelligence Service is a standalone FastAPI microservice responsible for resolving extracted merchant names into structured merchant information. It sits downstream of the payee-extraction component in the CreditMitra engine.</w:t>
      </w:r>
    </w:p>
    <w:p w14:paraId="6BBDA5BE" w14:textId="50BB57E8" w:rsidR="00F46ECE" w:rsidRDefault="00590DBD">
      <w:pPr>
        <w:rPr>
          <w:rFonts w:hint="eastAsia"/>
        </w:rPr>
      </w:pPr>
      <w:r>
        <w:t>It</w:t>
      </w:r>
      <w:r w:rsidR="00000000">
        <w:t xml:space="preserve"> handles merchant</w:t>
      </w:r>
      <w:r>
        <w:t xml:space="preserve"> </w:t>
      </w:r>
      <w:r w:rsidR="00000000">
        <w:t>specific operations such as normalization, alias resolution, caching, categorization, risk tagging and curation of previously unresolved merchant names. The main transaction engine remains responsible for processing the statement and extracting the payee from the narration.</w:t>
      </w:r>
    </w:p>
    <w:p w14:paraId="658C6308" w14:textId="38A37B81" w:rsidR="00F46ECE" w:rsidRDefault="00000000">
      <w:pPr>
        <w:rPr>
          <w:rFonts w:hint="eastAsia"/>
        </w:rPr>
      </w:pPr>
      <w:r>
        <w:t>The separation</w:t>
      </w:r>
      <w:r w:rsidR="00590DBD">
        <w:t xml:space="preserve"> of</w:t>
      </w:r>
      <w:r>
        <w:t xml:space="preserve"> Merchant enrichment and SLM-based narration extraction have different computational requirements, update frequencies and testing needs</w:t>
      </w:r>
      <w:r w:rsidR="00590DBD">
        <w:t xml:space="preserve"> which is why it was required</w:t>
      </w:r>
      <w:r>
        <w:t>.</w:t>
      </w:r>
    </w:p>
    <w:p w14:paraId="55C0113B" w14:textId="77777777" w:rsidR="00F46ECE" w:rsidRDefault="00000000">
      <w:pPr>
        <w:pStyle w:val="Heading1"/>
      </w:pPr>
      <w:r>
        <w:t>2. Existing Engine and Motivation for Extraction</w:t>
      </w:r>
    </w:p>
    <w:p w14:paraId="4461F0C8" w14:textId="2D37A262" w:rsidR="00F46ECE" w:rsidRDefault="00000000">
      <w:pPr>
        <w:rPr>
          <w:rFonts w:hint="eastAsia"/>
        </w:rPr>
      </w:pPr>
      <w:r>
        <w:t>The CreditMitra engine performs the heavier part of the transaction</w:t>
      </w:r>
      <w:r w:rsidR="00590DBD">
        <w:t xml:space="preserve"> </w:t>
      </w:r>
      <w:r>
        <w:t>processing workflow. It loads and runs the payee</w:t>
      </w:r>
      <w:r w:rsidR="00590DBD">
        <w:t xml:space="preserve"> </w:t>
      </w:r>
      <w:r>
        <w:t>extraction SLM, making its workload primarily GPU</w:t>
      </w:r>
      <w:r w:rsidR="00590DBD">
        <w:t xml:space="preserve"> </w:t>
      </w:r>
      <w:r>
        <w:t>oriented.</w:t>
      </w:r>
    </w:p>
    <w:p w14:paraId="7C5EF528" w14:textId="2E975C0D" w:rsidR="00F46ECE" w:rsidRDefault="00000000">
      <w:pPr>
        <w:rPr>
          <w:rFonts w:hint="eastAsia"/>
        </w:rPr>
      </w:pPr>
      <w:r>
        <w:t xml:space="preserve">Merchant enrichment has a different execution </w:t>
      </w:r>
      <w:r w:rsidR="00590DBD">
        <w:t>system</w:t>
      </w:r>
      <w:r>
        <w:t xml:space="preserve">. For </w:t>
      </w:r>
      <w:proofErr w:type="gramStart"/>
      <w:r w:rsidR="00590DBD">
        <w:t>example</w:t>
      </w:r>
      <w:proofErr w:type="gramEnd"/>
      <w:r w:rsidR="00590DBD">
        <w:t xml:space="preserve"> </w:t>
      </w:r>
      <w:r>
        <w:t>a known merchant, the service primarily performs a cache lookup or dictionary resolution. It does not need to invoke the SLM again.</w:t>
      </w:r>
    </w:p>
    <w:p w14:paraId="61EFEAD4" w14:textId="77777777" w:rsidR="00F46ECE" w:rsidRDefault="00000000">
      <w:pPr>
        <w:rPr>
          <w:rFonts w:hint="eastAsia"/>
        </w:rPr>
      </w:pPr>
      <w:r>
        <w:t>This gives the two components the following operational profiles:</w:t>
      </w:r>
    </w:p>
    <w:tbl>
      <w:tblPr>
        <w:tblStyle w:val="TableGrid"/>
        <w:tblW w:w="0" w:type="auto"/>
        <w:jc w:val="center"/>
        <w:tblLook w:val="04A0" w:firstRow="1" w:lastRow="0" w:firstColumn="1" w:lastColumn="0" w:noHBand="0" w:noVBand="1"/>
      </w:tblPr>
      <w:tblGrid>
        <w:gridCol w:w="3308"/>
        <w:gridCol w:w="3309"/>
        <w:gridCol w:w="3309"/>
      </w:tblGrid>
      <w:tr w:rsidR="00F46ECE" w14:paraId="615E033B" w14:textId="77777777">
        <w:trPr>
          <w:jc w:val="center"/>
        </w:trPr>
        <w:tc>
          <w:tcPr>
            <w:tcW w:w="3312" w:type="dxa"/>
          </w:tcPr>
          <w:p w14:paraId="4C10A50D" w14:textId="77777777" w:rsidR="00F46ECE" w:rsidRDefault="00000000">
            <w:pPr>
              <w:rPr>
                <w:rFonts w:hint="eastAsia"/>
              </w:rPr>
            </w:pPr>
            <w:r>
              <w:t>Area</w:t>
            </w:r>
          </w:p>
        </w:tc>
        <w:tc>
          <w:tcPr>
            <w:tcW w:w="3312" w:type="dxa"/>
          </w:tcPr>
          <w:p w14:paraId="3598BBFD" w14:textId="77777777" w:rsidR="00F46ECE" w:rsidRDefault="00000000">
            <w:pPr>
              <w:rPr>
                <w:rFonts w:hint="eastAsia"/>
              </w:rPr>
            </w:pPr>
            <w:r>
              <w:t>CreditMitra Engine</w:t>
            </w:r>
          </w:p>
        </w:tc>
        <w:tc>
          <w:tcPr>
            <w:tcW w:w="3312" w:type="dxa"/>
          </w:tcPr>
          <w:p w14:paraId="3F70B1B3" w14:textId="77777777" w:rsidR="00F46ECE" w:rsidRDefault="00000000">
            <w:pPr>
              <w:rPr>
                <w:rFonts w:hint="eastAsia"/>
              </w:rPr>
            </w:pPr>
            <w:r>
              <w:t>Merchant Service</w:t>
            </w:r>
          </w:p>
        </w:tc>
      </w:tr>
      <w:tr w:rsidR="00F46ECE" w14:paraId="24E487CF" w14:textId="77777777">
        <w:trPr>
          <w:jc w:val="center"/>
        </w:trPr>
        <w:tc>
          <w:tcPr>
            <w:tcW w:w="3312" w:type="dxa"/>
          </w:tcPr>
          <w:p w14:paraId="6EAEDB27" w14:textId="77777777" w:rsidR="00F46ECE" w:rsidRDefault="00000000">
            <w:pPr>
              <w:rPr>
                <w:rFonts w:hint="eastAsia"/>
              </w:rPr>
            </w:pPr>
            <w:r>
              <w:t>Primary workload</w:t>
            </w:r>
          </w:p>
        </w:tc>
        <w:tc>
          <w:tcPr>
            <w:tcW w:w="3312" w:type="dxa"/>
          </w:tcPr>
          <w:p w14:paraId="451A5683" w14:textId="77777777" w:rsidR="00F46ECE" w:rsidRDefault="00000000">
            <w:pPr>
              <w:rPr>
                <w:rFonts w:hint="eastAsia"/>
              </w:rPr>
            </w:pPr>
            <w:r>
              <w:t>Payee/narration extraction</w:t>
            </w:r>
          </w:p>
        </w:tc>
        <w:tc>
          <w:tcPr>
            <w:tcW w:w="3312" w:type="dxa"/>
          </w:tcPr>
          <w:p w14:paraId="1E75B66F" w14:textId="77777777" w:rsidR="00F46ECE" w:rsidRDefault="00000000">
            <w:pPr>
              <w:rPr>
                <w:rFonts w:hint="eastAsia"/>
              </w:rPr>
            </w:pPr>
            <w:r>
              <w:t>Merchant resolution</w:t>
            </w:r>
          </w:p>
        </w:tc>
      </w:tr>
      <w:tr w:rsidR="00F46ECE" w14:paraId="2B4EF396" w14:textId="77777777">
        <w:trPr>
          <w:jc w:val="center"/>
        </w:trPr>
        <w:tc>
          <w:tcPr>
            <w:tcW w:w="3312" w:type="dxa"/>
          </w:tcPr>
          <w:p w14:paraId="6E3ACE9D" w14:textId="77777777" w:rsidR="00F46ECE" w:rsidRDefault="00000000">
            <w:pPr>
              <w:rPr>
                <w:rFonts w:hint="eastAsia"/>
              </w:rPr>
            </w:pPr>
            <w:r>
              <w:t>Compute profile</w:t>
            </w:r>
          </w:p>
        </w:tc>
        <w:tc>
          <w:tcPr>
            <w:tcW w:w="3312" w:type="dxa"/>
          </w:tcPr>
          <w:p w14:paraId="611542A3" w14:textId="77777777" w:rsidR="00F46ECE" w:rsidRDefault="00000000">
            <w:pPr>
              <w:rPr>
                <w:rFonts w:hint="eastAsia"/>
              </w:rPr>
            </w:pPr>
            <w:r>
              <w:t>GPU-bound SLM inference</w:t>
            </w:r>
          </w:p>
        </w:tc>
        <w:tc>
          <w:tcPr>
            <w:tcW w:w="3312" w:type="dxa"/>
          </w:tcPr>
          <w:p w14:paraId="07AA4CBF" w14:textId="77777777" w:rsidR="00F46ECE" w:rsidRDefault="00000000">
            <w:pPr>
              <w:rPr>
                <w:rFonts w:hint="eastAsia"/>
              </w:rPr>
            </w:pPr>
            <w:r>
              <w:t>CPU-oriented lookup and caching</w:t>
            </w:r>
          </w:p>
        </w:tc>
      </w:tr>
      <w:tr w:rsidR="00F46ECE" w14:paraId="61953C5E" w14:textId="77777777">
        <w:trPr>
          <w:jc w:val="center"/>
        </w:trPr>
        <w:tc>
          <w:tcPr>
            <w:tcW w:w="3312" w:type="dxa"/>
          </w:tcPr>
          <w:p w14:paraId="0EE37DD0" w14:textId="77777777" w:rsidR="00F46ECE" w:rsidRDefault="00000000">
            <w:pPr>
              <w:rPr>
                <w:rFonts w:hint="eastAsia"/>
              </w:rPr>
            </w:pPr>
            <w:r>
              <w:t>Change frequency</w:t>
            </w:r>
          </w:p>
        </w:tc>
        <w:tc>
          <w:tcPr>
            <w:tcW w:w="3312" w:type="dxa"/>
          </w:tcPr>
          <w:p w14:paraId="485E5081" w14:textId="77777777" w:rsidR="00F46ECE" w:rsidRDefault="00000000">
            <w:pPr>
              <w:rPr>
                <w:rFonts w:hint="eastAsia"/>
              </w:rPr>
            </w:pPr>
            <w:r>
              <w:t>Model/training changes</w:t>
            </w:r>
          </w:p>
        </w:tc>
        <w:tc>
          <w:tcPr>
            <w:tcW w:w="3312" w:type="dxa"/>
          </w:tcPr>
          <w:p w14:paraId="65434AB0" w14:textId="77777777" w:rsidR="00F46ECE" w:rsidRDefault="00000000">
            <w:pPr>
              <w:rPr>
                <w:rFonts w:hint="eastAsia"/>
              </w:rPr>
            </w:pPr>
            <w:r>
              <w:t>Merchant/taxonomy updates</w:t>
            </w:r>
          </w:p>
        </w:tc>
      </w:tr>
      <w:tr w:rsidR="00F46ECE" w14:paraId="10EB02AE" w14:textId="77777777">
        <w:trPr>
          <w:jc w:val="center"/>
        </w:trPr>
        <w:tc>
          <w:tcPr>
            <w:tcW w:w="3312" w:type="dxa"/>
          </w:tcPr>
          <w:p w14:paraId="3539DAB6" w14:textId="77777777" w:rsidR="00F46ECE" w:rsidRDefault="00000000">
            <w:pPr>
              <w:rPr>
                <w:rFonts w:hint="eastAsia"/>
              </w:rPr>
            </w:pPr>
            <w:r>
              <w:t>Live processing</w:t>
            </w:r>
          </w:p>
        </w:tc>
        <w:tc>
          <w:tcPr>
            <w:tcW w:w="3312" w:type="dxa"/>
          </w:tcPr>
          <w:p w14:paraId="07883590" w14:textId="77777777" w:rsidR="00F46ECE" w:rsidRDefault="00000000">
            <w:pPr>
              <w:rPr>
                <w:rFonts w:hint="eastAsia"/>
              </w:rPr>
            </w:pPr>
            <w:r>
              <w:t>Model inference</w:t>
            </w:r>
          </w:p>
        </w:tc>
        <w:tc>
          <w:tcPr>
            <w:tcW w:w="3312" w:type="dxa"/>
          </w:tcPr>
          <w:p w14:paraId="0F7B86B2" w14:textId="77777777" w:rsidR="00F46ECE" w:rsidRDefault="00000000">
            <w:pPr>
              <w:rPr>
                <w:rFonts w:hint="eastAsia"/>
              </w:rPr>
            </w:pPr>
            <w:r>
              <w:t>Cache + dictionary resolution</w:t>
            </w:r>
          </w:p>
        </w:tc>
      </w:tr>
      <w:tr w:rsidR="00F46ECE" w14:paraId="434A9EA2" w14:textId="77777777">
        <w:trPr>
          <w:jc w:val="center"/>
        </w:trPr>
        <w:tc>
          <w:tcPr>
            <w:tcW w:w="3312" w:type="dxa"/>
          </w:tcPr>
          <w:p w14:paraId="22D2808A" w14:textId="77777777" w:rsidR="00F46ECE" w:rsidRDefault="00000000">
            <w:pPr>
              <w:rPr>
                <w:rFonts w:hint="eastAsia"/>
              </w:rPr>
            </w:pPr>
            <w:r>
              <w:t>Expensive external work</w:t>
            </w:r>
          </w:p>
        </w:tc>
        <w:tc>
          <w:tcPr>
            <w:tcW w:w="3312" w:type="dxa"/>
          </w:tcPr>
          <w:p w14:paraId="0099F1DF" w14:textId="77777777" w:rsidR="00F46ECE" w:rsidRDefault="00000000">
            <w:pPr>
              <w:rPr>
                <w:rFonts w:hint="eastAsia"/>
              </w:rPr>
            </w:pPr>
            <w:r>
              <w:t>Model inference</w:t>
            </w:r>
          </w:p>
        </w:tc>
        <w:tc>
          <w:tcPr>
            <w:tcW w:w="3312" w:type="dxa"/>
          </w:tcPr>
          <w:p w14:paraId="2CE0B348" w14:textId="77777777" w:rsidR="00F46ECE" w:rsidRDefault="00000000">
            <w:pPr>
              <w:rPr>
                <w:rFonts w:hint="eastAsia"/>
              </w:rPr>
            </w:pPr>
            <w:r>
              <w:t>LLM/web-search curation, offline</w:t>
            </w:r>
          </w:p>
        </w:tc>
      </w:tr>
    </w:tbl>
    <w:p w14:paraId="20B48B27" w14:textId="77777777" w:rsidR="00F46ECE" w:rsidRDefault="00000000">
      <w:pPr>
        <w:pStyle w:val="Heading1"/>
      </w:pPr>
      <w:r>
        <w:t>3. System Architecture</w:t>
      </w:r>
    </w:p>
    <w:p w14:paraId="494B0E51" w14:textId="77777777" w:rsidR="00F46ECE" w:rsidRDefault="00000000">
      <w:pPr>
        <w:rPr>
          <w:rFonts w:hint="eastAsia"/>
        </w:rPr>
      </w:pPr>
      <w:r>
        <w:t>The system is organized into an online transaction path and an offline curation path.</w:t>
      </w:r>
    </w:p>
    <w:p w14:paraId="5F710746" w14:textId="77777777" w:rsidR="00F46ECE" w:rsidRDefault="00000000">
      <w:pPr>
        <w:pStyle w:val="Heading2"/>
      </w:pPr>
      <w:r>
        <w:t>3.1 Online transaction path</w:t>
      </w:r>
    </w:p>
    <w:p w14:paraId="0E30FE12" w14:textId="77777777" w:rsidR="00F46ECE" w:rsidRDefault="00000000">
      <w:pPr>
        <w:spacing w:before="80" w:after="80"/>
        <w:ind w:left="432"/>
        <w:rPr>
          <w:rFonts w:hint="eastAsia"/>
        </w:rPr>
      </w:pPr>
      <w:r>
        <w:rPr>
          <w:rFonts w:ascii="Consolas" w:hAnsi="Consolas"/>
          <w:sz w:val="18"/>
        </w:rPr>
        <w:t>Bank Statement</w:t>
      </w:r>
      <w:r>
        <w:rPr>
          <w:rFonts w:ascii="Consolas" w:hAnsi="Consolas"/>
          <w:sz w:val="18"/>
        </w:rPr>
        <w:br/>
        <w:t xml:space="preserve">      |</w:t>
      </w:r>
      <w:r>
        <w:rPr>
          <w:rFonts w:ascii="Consolas" w:hAnsi="Consolas"/>
          <w:sz w:val="18"/>
        </w:rPr>
        <w:br/>
        <w:t xml:space="preserve">      v</w:t>
      </w:r>
      <w:r>
        <w:rPr>
          <w:rFonts w:ascii="Consolas" w:hAnsi="Consolas"/>
          <w:sz w:val="18"/>
        </w:rPr>
        <w:br/>
        <w:t>CreditMitra Engine</w:t>
      </w:r>
      <w:r>
        <w:rPr>
          <w:rFonts w:ascii="Consolas" w:hAnsi="Consolas"/>
          <w:sz w:val="18"/>
        </w:rPr>
        <w:br/>
        <w:t xml:space="preserve">      |</w:t>
      </w:r>
      <w:r>
        <w:rPr>
          <w:rFonts w:ascii="Consolas" w:hAnsi="Consolas"/>
          <w:sz w:val="18"/>
        </w:rPr>
        <w:br/>
        <w:t xml:space="preserve">      v</w:t>
      </w:r>
      <w:r>
        <w:rPr>
          <w:rFonts w:ascii="Consolas" w:hAnsi="Consolas"/>
          <w:sz w:val="18"/>
        </w:rPr>
        <w:br/>
        <w:t>Payee Extraction SLM</w:t>
      </w:r>
      <w:r>
        <w:rPr>
          <w:rFonts w:ascii="Consolas" w:hAnsi="Consolas"/>
          <w:sz w:val="18"/>
        </w:rPr>
        <w:br/>
        <w:t xml:space="preserve">      |</w:t>
      </w:r>
      <w:r>
        <w:rPr>
          <w:rFonts w:ascii="Consolas" w:hAnsi="Consolas"/>
          <w:sz w:val="18"/>
        </w:rPr>
        <w:br/>
        <w:t xml:space="preserve">      v</w:t>
      </w:r>
      <w:r>
        <w:rPr>
          <w:rFonts w:ascii="Consolas" w:hAnsi="Consolas"/>
          <w:sz w:val="18"/>
        </w:rPr>
        <w:br/>
        <w:t>Extracted Merchant Name</w:t>
      </w:r>
      <w:r>
        <w:rPr>
          <w:rFonts w:ascii="Consolas" w:hAnsi="Consolas"/>
          <w:sz w:val="18"/>
        </w:rPr>
        <w:br/>
        <w:t xml:space="preserve">      |</w:t>
      </w:r>
      <w:r>
        <w:rPr>
          <w:rFonts w:ascii="Consolas" w:hAnsi="Consolas"/>
          <w:sz w:val="18"/>
        </w:rPr>
        <w:br/>
        <w:t xml:space="preserve">      | HTTP request</w:t>
      </w:r>
      <w:r>
        <w:rPr>
          <w:rFonts w:ascii="Consolas" w:hAnsi="Consolas"/>
          <w:sz w:val="18"/>
        </w:rPr>
        <w:br/>
      </w:r>
      <w:r>
        <w:rPr>
          <w:rFonts w:ascii="Consolas" w:hAnsi="Consolas"/>
          <w:sz w:val="18"/>
        </w:rPr>
        <w:lastRenderedPageBreak/>
        <w:t xml:space="preserve">      v</w:t>
      </w:r>
      <w:r>
        <w:rPr>
          <w:rFonts w:ascii="Consolas" w:hAnsi="Consolas"/>
          <w:sz w:val="18"/>
        </w:rPr>
        <w:br/>
        <w:t>Merchant Intelligence Service</w:t>
      </w:r>
      <w:r>
        <w:rPr>
          <w:rFonts w:ascii="Consolas" w:hAnsi="Consolas"/>
          <w:sz w:val="18"/>
        </w:rPr>
        <w:br/>
        <w:t xml:space="preserve">      |</w:t>
      </w:r>
      <w:r>
        <w:rPr>
          <w:rFonts w:ascii="Consolas" w:hAnsi="Consolas"/>
          <w:sz w:val="18"/>
        </w:rPr>
        <w:br/>
        <w:t xml:space="preserve">      +--&gt; SQLite Cache</w:t>
      </w:r>
      <w:r>
        <w:rPr>
          <w:rFonts w:ascii="Consolas" w:hAnsi="Consolas"/>
          <w:sz w:val="18"/>
        </w:rPr>
        <w:br/>
        <w:t xml:space="preserve">      |</w:t>
      </w:r>
      <w:r>
        <w:rPr>
          <w:rFonts w:ascii="Consolas" w:hAnsi="Consolas"/>
          <w:sz w:val="18"/>
        </w:rPr>
        <w:br/>
        <w:t xml:space="preserve">      +--&gt; Merchant Dictionary</w:t>
      </w:r>
      <w:r>
        <w:rPr>
          <w:rFonts w:ascii="Consolas" w:hAnsi="Consolas"/>
          <w:sz w:val="18"/>
        </w:rPr>
        <w:br/>
        <w:t xml:space="preserve">      |</w:t>
      </w:r>
      <w:r>
        <w:rPr>
          <w:rFonts w:ascii="Consolas" w:hAnsi="Consolas"/>
          <w:sz w:val="18"/>
        </w:rPr>
        <w:br/>
        <w:t xml:space="preserve">      +--&gt; Fallback: "other"</w:t>
      </w:r>
      <w:r>
        <w:rPr>
          <w:rFonts w:ascii="Consolas" w:hAnsi="Consolas"/>
          <w:sz w:val="18"/>
        </w:rPr>
        <w:br/>
        <w:t xml:space="preserve">      |</w:t>
      </w:r>
      <w:r>
        <w:rPr>
          <w:rFonts w:ascii="Consolas" w:hAnsi="Consolas"/>
          <w:sz w:val="18"/>
        </w:rPr>
        <w:br/>
        <w:t xml:space="preserve">      v</w:t>
      </w:r>
      <w:r>
        <w:rPr>
          <w:rFonts w:ascii="Consolas" w:hAnsi="Consolas"/>
          <w:sz w:val="18"/>
        </w:rPr>
        <w:br/>
        <w:t>Structured Merchant Profile</w:t>
      </w:r>
    </w:p>
    <w:p w14:paraId="088FB2C3" w14:textId="77777777" w:rsidR="00F46ECE" w:rsidRDefault="00000000">
      <w:pPr>
        <w:pStyle w:val="Heading2"/>
      </w:pPr>
      <w:r>
        <w:t>3.2 Offline curation path</w:t>
      </w:r>
    </w:p>
    <w:p w14:paraId="0BC99B7D" w14:textId="77777777" w:rsidR="00F46ECE" w:rsidRDefault="00000000">
      <w:pPr>
        <w:spacing w:before="80" w:after="80"/>
        <w:ind w:left="432"/>
        <w:rPr>
          <w:rFonts w:hint="eastAsia"/>
        </w:rPr>
      </w:pPr>
      <w:r>
        <w:rPr>
          <w:rFonts w:ascii="Consolas" w:hAnsi="Consolas"/>
          <w:sz w:val="18"/>
        </w:rPr>
        <w:t>Unresolved Merchant</w:t>
      </w:r>
      <w:r>
        <w:rPr>
          <w:rFonts w:ascii="Consolas" w:hAnsi="Consolas"/>
          <w:sz w:val="18"/>
        </w:rPr>
        <w:br/>
        <w:t xml:space="preserve">       |</w:t>
      </w:r>
      <w:r>
        <w:rPr>
          <w:rFonts w:ascii="Consolas" w:hAnsi="Consolas"/>
          <w:sz w:val="18"/>
        </w:rPr>
        <w:br/>
        <w:t xml:space="preserve">       v</w:t>
      </w:r>
      <w:r>
        <w:rPr>
          <w:rFonts w:ascii="Consolas" w:hAnsi="Consolas"/>
          <w:sz w:val="18"/>
        </w:rPr>
        <w:br/>
        <w:t>Miss Ledger</w:t>
      </w:r>
      <w:r>
        <w:rPr>
          <w:rFonts w:ascii="Consolas" w:hAnsi="Consolas"/>
          <w:sz w:val="18"/>
        </w:rPr>
        <w:br/>
        <w:t xml:space="preserve">       |</w:t>
      </w:r>
      <w:r>
        <w:rPr>
          <w:rFonts w:ascii="Consolas" w:hAnsi="Consolas"/>
          <w:sz w:val="18"/>
        </w:rPr>
        <w:br/>
        <w:t xml:space="preserve">       | repeated occurrences</w:t>
      </w:r>
      <w:r>
        <w:rPr>
          <w:rFonts w:ascii="Consolas" w:hAnsi="Consolas"/>
          <w:sz w:val="18"/>
        </w:rPr>
        <w:br/>
        <w:t xml:space="preserve">       v</w:t>
      </w:r>
      <w:r>
        <w:rPr>
          <w:rFonts w:ascii="Consolas" w:hAnsi="Consolas"/>
          <w:sz w:val="18"/>
        </w:rPr>
        <w:br/>
        <w:t>Curation Queue</w:t>
      </w:r>
      <w:r>
        <w:rPr>
          <w:rFonts w:ascii="Consolas" w:hAnsi="Consolas"/>
          <w:sz w:val="18"/>
        </w:rPr>
        <w:br/>
        <w:t xml:space="preserve">       |</w:t>
      </w:r>
      <w:r>
        <w:rPr>
          <w:rFonts w:ascii="Consolas" w:hAnsi="Consolas"/>
          <w:sz w:val="18"/>
        </w:rPr>
        <w:br/>
        <w:t xml:space="preserve">       +--&gt; Grounded LLM + search evidence</w:t>
      </w:r>
      <w:r>
        <w:rPr>
          <w:rFonts w:ascii="Consolas" w:hAnsi="Consolas"/>
          <w:sz w:val="18"/>
        </w:rPr>
        <w:br/>
        <w:t xml:space="preserve">       |</w:t>
      </w:r>
      <w:r>
        <w:rPr>
          <w:rFonts w:ascii="Consolas" w:hAnsi="Consolas"/>
          <w:sz w:val="18"/>
        </w:rPr>
        <w:br/>
        <w:t xml:space="preserve">       +--&gt; Parametric LLM</w:t>
      </w:r>
      <w:r>
        <w:rPr>
          <w:rFonts w:ascii="Consolas" w:hAnsi="Consolas"/>
          <w:sz w:val="18"/>
        </w:rPr>
        <w:br/>
        <w:t xml:space="preserve">                    |</w:t>
      </w:r>
      <w:r>
        <w:rPr>
          <w:rFonts w:ascii="Consolas" w:hAnsi="Consolas"/>
          <w:sz w:val="18"/>
        </w:rPr>
        <w:br/>
        <w:t xml:space="preserve">                    v</w:t>
      </w:r>
      <w:r>
        <w:rPr>
          <w:rFonts w:ascii="Consolas" w:hAnsi="Consolas"/>
          <w:sz w:val="18"/>
        </w:rPr>
        <w:br/>
        <w:t xml:space="preserve">            Agreement + confidence</w:t>
      </w:r>
      <w:r>
        <w:rPr>
          <w:rFonts w:ascii="Consolas" w:hAnsi="Consolas"/>
          <w:sz w:val="18"/>
        </w:rPr>
        <w:br/>
        <w:t xml:space="preserve">                    |</w:t>
      </w:r>
      <w:r>
        <w:rPr>
          <w:rFonts w:ascii="Consolas" w:hAnsi="Consolas"/>
          <w:sz w:val="18"/>
        </w:rPr>
        <w:br/>
        <w:t xml:space="preserve">                    v</w:t>
      </w:r>
      <w:r>
        <w:rPr>
          <w:rFonts w:ascii="Consolas" w:hAnsi="Consolas"/>
          <w:sz w:val="18"/>
        </w:rPr>
        <w:br/>
        <w:t xml:space="preserve">             Candidate / promotion</w:t>
      </w:r>
      <w:r>
        <w:rPr>
          <w:rFonts w:ascii="Consolas" w:hAnsi="Consolas"/>
          <w:sz w:val="18"/>
        </w:rPr>
        <w:br/>
        <w:t xml:space="preserve">                    |</w:t>
      </w:r>
      <w:r>
        <w:rPr>
          <w:rFonts w:ascii="Consolas" w:hAnsi="Consolas"/>
          <w:sz w:val="18"/>
        </w:rPr>
        <w:br/>
        <w:t xml:space="preserve">                    v</w:t>
      </w:r>
      <w:r>
        <w:rPr>
          <w:rFonts w:ascii="Consolas" w:hAnsi="Consolas"/>
          <w:sz w:val="18"/>
        </w:rPr>
        <w:br/>
        <w:t xml:space="preserve">             Merchant Dictionary</w:t>
      </w:r>
    </w:p>
    <w:p w14:paraId="505ECA2C" w14:textId="77777777" w:rsidR="00F46ECE" w:rsidRDefault="00000000">
      <w:pPr>
        <w:pStyle w:val="Heading1"/>
      </w:pPr>
      <w:r>
        <w:t>4. Online Merchant Enrichment</w:t>
      </w:r>
    </w:p>
    <w:p w14:paraId="5F7EE9ED" w14:textId="77777777" w:rsidR="00F46ECE" w:rsidRDefault="00000000">
      <w:pPr>
        <w:pStyle w:val="Heading2"/>
      </w:pPr>
      <w:r>
        <w:t>4.1 Request</w:t>
      </w:r>
    </w:p>
    <w:p w14:paraId="22E1112D" w14:textId="77777777" w:rsidR="00F46ECE" w:rsidRDefault="00000000">
      <w:pPr>
        <w:rPr>
          <w:rFonts w:hint="eastAsia"/>
        </w:rPr>
      </w:pPr>
      <w:r>
        <w:t>After the engine extracts a payee, it can send the merchant name to the enrichment endpoint. The API accepts merchant names in batches, preserves request order and caps the batch size at 1000.</w:t>
      </w:r>
    </w:p>
    <w:p w14:paraId="2F5CAA4A" w14:textId="77777777" w:rsidR="00F46ECE" w:rsidRDefault="00000000">
      <w:pPr>
        <w:spacing w:before="80" w:after="80"/>
        <w:ind w:left="432"/>
        <w:rPr>
          <w:rFonts w:hint="eastAsia"/>
        </w:rPr>
      </w:pPr>
      <w:r>
        <w:rPr>
          <w:rFonts w:ascii="Consolas" w:hAnsi="Consolas"/>
          <w:sz w:val="18"/>
        </w:rPr>
        <w:t>POST /api/v1/merchants/enrich</w:t>
      </w:r>
      <w:r>
        <w:rPr>
          <w:rFonts w:ascii="Consolas" w:hAnsi="Consolas"/>
          <w:sz w:val="18"/>
        </w:rPr>
        <w:br/>
      </w:r>
      <w:r>
        <w:rPr>
          <w:rFonts w:ascii="Consolas" w:hAnsi="Consolas"/>
          <w:sz w:val="18"/>
        </w:rPr>
        <w:br/>
        <w:t>Input:</w:t>
      </w:r>
      <w:r>
        <w:rPr>
          <w:rFonts w:ascii="Consolas" w:hAnsi="Consolas"/>
          <w:sz w:val="18"/>
        </w:rPr>
        <w:br/>
        <w:t>[</w:t>
      </w:r>
      <w:r>
        <w:rPr>
          <w:rFonts w:ascii="Consolas" w:hAnsi="Consolas"/>
          <w:sz w:val="18"/>
        </w:rPr>
        <w:br/>
        <w:t xml:space="preserve">    "SWIGGY*ORDER PVT LTD",</w:t>
      </w:r>
      <w:r>
        <w:rPr>
          <w:rFonts w:ascii="Consolas" w:hAnsi="Consolas"/>
          <w:sz w:val="18"/>
        </w:rPr>
        <w:br/>
        <w:t xml:space="preserve">    "AMAZON PAY",</w:t>
      </w:r>
      <w:r>
        <w:rPr>
          <w:rFonts w:ascii="Consolas" w:hAnsi="Consolas"/>
          <w:sz w:val="18"/>
        </w:rPr>
        <w:br/>
        <w:t xml:space="preserve">    "UNKNOWN MERCHANT"</w:t>
      </w:r>
      <w:r>
        <w:rPr>
          <w:rFonts w:ascii="Consolas" w:hAnsi="Consolas"/>
          <w:sz w:val="18"/>
        </w:rPr>
        <w:br/>
        <w:t>]</w:t>
      </w:r>
    </w:p>
    <w:p w14:paraId="10FDA28A" w14:textId="77777777" w:rsidR="00F46ECE" w:rsidRDefault="00000000">
      <w:pPr>
        <w:pStyle w:val="Heading2"/>
      </w:pPr>
      <w:r>
        <w:lastRenderedPageBreak/>
        <w:t>4.2 Normalization</w:t>
      </w:r>
    </w:p>
    <w:p w14:paraId="6D5150D0" w14:textId="4BF119AD" w:rsidR="00F46ECE" w:rsidRDefault="00000000">
      <w:pPr>
        <w:rPr>
          <w:rFonts w:hint="eastAsia"/>
        </w:rPr>
      </w:pPr>
      <w:r>
        <w:t>The service normalizes merchant strings before attempting resolution. Punctuation and common noise tokens such as PVT, LTD, RECHARGE and INDIA are removed</w:t>
      </w:r>
      <w:r w:rsidR="00590DBD">
        <w:t xml:space="preserve"> using regex</w:t>
      </w:r>
      <w:r>
        <w:t>. This allows different statement representations of the same merchant to converge on the same lookup key.</w:t>
      </w:r>
    </w:p>
    <w:p w14:paraId="63961CBE" w14:textId="77777777" w:rsidR="00F46ECE" w:rsidRDefault="00000000">
      <w:pPr>
        <w:spacing w:before="80" w:after="80"/>
        <w:ind w:left="432"/>
        <w:rPr>
          <w:rFonts w:hint="eastAsia"/>
        </w:rPr>
      </w:pPr>
      <w:r>
        <w:rPr>
          <w:rFonts w:ascii="Consolas" w:hAnsi="Consolas"/>
          <w:sz w:val="18"/>
        </w:rPr>
        <w:t>SWIGGY*ORDER PVT LTD</w:t>
      </w:r>
      <w:r>
        <w:rPr>
          <w:rFonts w:ascii="Consolas" w:hAnsi="Consolas"/>
          <w:sz w:val="18"/>
        </w:rPr>
        <w:br/>
        <w:t xml:space="preserve">        |</w:t>
      </w:r>
      <w:r>
        <w:rPr>
          <w:rFonts w:ascii="Consolas" w:hAnsi="Consolas"/>
          <w:sz w:val="18"/>
        </w:rPr>
        <w:br/>
        <w:t xml:space="preserve">        v</w:t>
      </w:r>
      <w:r>
        <w:rPr>
          <w:rFonts w:ascii="Consolas" w:hAnsi="Consolas"/>
          <w:sz w:val="18"/>
        </w:rPr>
        <w:br/>
        <w:t>normalized merchant representation</w:t>
      </w:r>
      <w:r>
        <w:rPr>
          <w:rFonts w:ascii="Consolas" w:hAnsi="Consolas"/>
          <w:sz w:val="18"/>
        </w:rPr>
        <w:br/>
        <w:t xml:space="preserve">        |</w:t>
      </w:r>
      <w:r>
        <w:rPr>
          <w:rFonts w:ascii="Consolas" w:hAnsi="Consolas"/>
          <w:sz w:val="18"/>
        </w:rPr>
        <w:br/>
        <w:t xml:space="preserve">        v</w:t>
      </w:r>
      <w:r>
        <w:rPr>
          <w:rFonts w:ascii="Consolas" w:hAnsi="Consolas"/>
          <w:sz w:val="18"/>
        </w:rPr>
        <w:br/>
        <w:t>SWIGGY</w:t>
      </w:r>
    </w:p>
    <w:p w14:paraId="10D9957E" w14:textId="77777777" w:rsidR="00F46ECE" w:rsidRDefault="00000000">
      <w:pPr>
        <w:pStyle w:val="Heading2"/>
      </w:pPr>
      <w:r>
        <w:t>4.3 Resolution order</w:t>
      </w:r>
    </w:p>
    <w:p w14:paraId="0648CEE8" w14:textId="77777777" w:rsidR="00F46ECE" w:rsidRDefault="00000000">
      <w:pPr>
        <w:rPr>
          <w:rFonts w:hint="eastAsia"/>
        </w:rPr>
      </w:pPr>
      <w:r>
        <w:t>Resolution follows a deterministic sequence:</w:t>
      </w:r>
    </w:p>
    <w:p w14:paraId="32363C60" w14:textId="77777777" w:rsidR="00F46ECE" w:rsidRDefault="00000000">
      <w:pPr>
        <w:pStyle w:val="ListBullet"/>
        <w:rPr>
          <w:rFonts w:hint="eastAsia"/>
        </w:rPr>
      </w:pPr>
      <w:r>
        <w:t>SQLite cache is checked first.</w:t>
      </w:r>
    </w:p>
    <w:p w14:paraId="65B6FB26" w14:textId="77777777" w:rsidR="00F46ECE" w:rsidRDefault="00000000">
      <w:pPr>
        <w:pStyle w:val="ListBullet"/>
        <w:rPr>
          <w:rFonts w:hint="eastAsia"/>
        </w:rPr>
      </w:pPr>
      <w:r>
        <w:t>The merchant dictionary is checked next using exact alias matching.</w:t>
      </w:r>
    </w:p>
    <w:p w14:paraId="37CDDD90" w14:textId="77777777" w:rsidR="00F46ECE" w:rsidRDefault="00000000">
      <w:pPr>
        <w:pStyle w:val="ListBullet"/>
        <w:rPr>
          <w:rFonts w:hint="eastAsia"/>
        </w:rPr>
      </w:pPr>
      <w:r>
        <w:t>If necessary, longest-prefix matching is used for truncated narration values.</w:t>
      </w:r>
    </w:p>
    <w:p w14:paraId="6FB9A158" w14:textId="77777777" w:rsidR="00F46ECE" w:rsidRDefault="00000000">
      <w:pPr>
        <w:pStyle w:val="ListBullet"/>
        <w:rPr>
          <w:rFonts w:hint="eastAsia"/>
        </w:rPr>
      </w:pPr>
      <w:r>
        <w:t>If no match is found, the service returns the fallback category `other` and records the unresolved name.</w:t>
      </w:r>
    </w:p>
    <w:p w14:paraId="3F6FAA79" w14:textId="77777777" w:rsidR="00F46ECE" w:rsidRDefault="00000000">
      <w:pPr>
        <w:pStyle w:val="Heading2"/>
      </w:pPr>
      <w:r>
        <w:t>4.4 Prefix matching</w:t>
      </w:r>
    </w:p>
    <w:p w14:paraId="39EBC763" w14:textId="77777777" w:rsidR="00F46ECE" w:rsidRDefault="00000000">
      <w:pPr>
        <w:rPr>
          <w:rFonts w:hint="eastAsia"/>
        </w:rPr>
      </w:pPr>
      <w:r>
        <w:t>Bank and UPI narrations may contain truncated merchant names. Prefix matching handles this case. The longest matching alias is preferred so that a more specific merchant entry is not captured by a shorter alias.</w:t>
      </w:r>
    </w:p>
    <w:p w14:paraId="254CFC3B" w14:textId="77777777" w:rsidR="00F46ECE" w:rsidRDefault="00000000">
      <w:pPr>
        <w:pStyle w:val="Heading1"/>
      </w:pPr>
      <w:r>
        <w:t>5. Cache and Dictionary Management</w:t>
      </w:r>
    </w:p>
    <w:p w14:paraId="1575200E" w14:textId="77777777" w:rsidR="00F46ECE" w:rsidRDefault="00000000">
      <w:pPr>
        <w:pStyle w:val="Heading2"/>
      </w:pPr>
      <w:r>
        <w:t>5.1 Cache versioning</w:t>
      </w:r>
    </w:p>
    <w:p w14:paraId="495B6A8A" w14:textId="77777777" w:rsidR="00F46ECE" w:rsidRDefault="00000000">
      <w:pPr>
        <w:rPr>
          <w:rFonts w:hint="eastAsia"/>
        </w:rPr>
      </w:pPr>
      <w:r>
        <w:t>Cache entries are associated with a content hash of the merchant dictionary that produced them. This prevents an old result from remaining valid after the dictionary changes.</w:t>
      </w:r>
    </w:p>
    <w:p w14:paraId="5313057A" w14:textId="77777777" w:rsidR="00F46ECE" w:rsidRDefault="00000000">
      <w:pPr>
        <w:rPr>
          <w:rFonts w:hint="eastAsia"/>
        </w:rPr>
      </w:pPr>
      <w:r>
        <w:t>For example, if an unknown merchant was previously resolved as `other` and is later added to the dictionary, the dictionary hash changes and the previous cached result becomes stale.</w:t>
      </w:r>
    </w:p>
    <w:p w14:paraId="1BC5EEE4" w14:textId="77777777" w:rsidR="00F46ECE" w:rsidRDefault="00000000">
      <w:pPr>
        <w:pStyle w:val="Heading2"/>
      </w:pPr>
      <w:r>
        <w:t>5.2 Unknown-entry expiry</w:t>
      </w:r>
    </w:p>
    <w:p w14:paraId="136A64F1" w14:textId="02C14553" w:rsidR="00F46ECE" w:rsidRDefault="00000000">
      <w:pPr>
        <w:rPr>
          <w:rFonts w:hint="eastAsia"/>
        </w:rPr>
      </w:pPr>
      <w:r>
        <w:t xml:space="preserve">Unknown misses have a </w:t>
      </w:r>
      <w:proofErr w:type="gramStart"/>
      <w:r>
        <w:t>seven</w:t>
      </w:r>
      <w:r w:rsidR="00590DBD">
        <w:t xml:space="preserve"> </w:t>
      </w:r>
      <w:r>
        <w:t>day</w:t>
      </w:r>
      <w:proofErr w:type="gramEnd"/>
      <w:r>
        <w:t xml:space="preserve"> TTL in the current implementation. This prevents unresolved names from remaining indefinitely in the cache.</w:t>
      </w:r>
    </w:p>
    <w:p w14:paraId="73AF294B" w14:textId="77777777" w:rsidR="00F46ECE" w:rsidRDefault="00000000">
      <w:pPr>
        <w:pStyle w:val="Heading2"/>
      </w:pPr>
      <w:r>
        <w:t>5.3 Dictionary reload</w:t>
      </w:r>
    </w:p>
    <w:p w14:paraId="21D027D8" w14:textId="34AE84B4" w:rsidR="00F46ECE" w:rsidRDefault="00000000">
      <w:pPr>
        <w:rPr>
          <w:rFonts w:hint="eastAsia"/>
        </w:rPr>
      </w:pPr>
      <w:r>
        <w:t xml:space="preserve">The service </w:t>
      </w:r>
      <w:r w:rsidR="00590DBD">
        <w:t>has</w:t>
      </w:r>
      <w:r>
        <w:t xml:space="preserve"> `/reload` so dictionary changes can be loaded without restarting the entire CreditMitra engine. This is useful because merchant data can change independently of the SLM.</w:t>
      </w:r>
    </w:p>
    <w:p w14:paraId="49955E36" w14:textId="77777777" w:rsidR="00F46ECE" w:rsidRDefault="00000000">
      <w:pPr>
        <w:pStyle w:val="Heading1"/>
      </w:pPr>
      <w:r>
        <w:t>6. Unknown Merchant and Curation Workflow</w:t>
      </w:r>
    </w:p>
    <w:p w14:paraId="024C282B" w14:textId="77777777" w:rsidR="00F46ECE" w:rsidRDefault="00000000">
      <w:pPr>
        <w:rPr>
          <w:rFonts w:hint="eastAsia"/>
        </w:rPr>
      </w:pPr>
      <w:r>
        <w:t>An unknown merchant does not trigger an LLM call during the live enrichment request. The service records the miss and returns the fallback result immediately.</w:t>
      </w:r>
    </w:p>
    <w:p w14:paraId="3EADB856" w14:textId="77777777" w:rsidR="00F46ECE" w:rsidRDefault="00000000">
      <w:pPr>
        <w:spacing w:before="80" w:after="80"/>
        <w:ind w:left="432"/>
        <w:rPr>
          <w:rFonts w:hint="eastAsia"/>
        </w:rPr>
      </w:pPr>
      <w:r>
        <w:rPr>
          <w:rFonts w:ascii="Consolas" w:hAnsi="Consolas"/>
          <w:sz w:val="18"/>
        </w:rPr>
        <w:lastRenderedPageBreak/>
        <w:t>Live request</w:t>
      </w:r>
      <w:r>
        <w:rPr>
          <w:rFonts w:ascii="Consolas" w:hAnsi="Consolas"/>
          <w:sz w:val="18"/>
        </w:rPr>
        <w:br/>
        <w:t xml:space="preserve">    |</w:t>
      </w:r>
      <w:r>
        <w:rPr>
          <w:rFonts w:ascii="Consolas" w:hAnsi="Consolas"/>
          <w:sz w:val="18"/>
        </w:rPr>
        <w:br/>
        <w:t xml:space="preserve">    +--&gt; Known merchant --&gt; return profile</w:t>
      </w:r>
      <w:r>
        <w:rPr>
          <w:rFonts w:ascii="Consolas" w:hAnsi="Consolas"/>
          <w:sz w:val="18"/>
        </w:rPr>
        <w:br/>
        <w:t xml:space="preserve">    |</w:t>
      </w:r>
      <w:r>
        <w:rPr>
          <w:rFonts w:ascii="Consolas" w:hAnsi="Consolas"/>
          <w:sz w:val="18"/>
        </w:rPr>
        <w:br/>
        <w:t xml:space="preserve">    +--&gt; Unknown merchant</w:t>
      </w:r>
      <w:r>
        <w:rPr>
          <w:rFonts w:ascii="Consolas" w:hAnsi="Consolas"/>
          <w:sz w:val="18"/>
        </w:rPr>
        <w:br/>
        <w:t xml:space="preserve">             |</w:t>
      </w:r>
      <w:r>
        <w:rPr>
          <w:rFonts w:ascii="Consolas" w:hAnsi="Consolas"/>
          <w:sz w:val="18"/>
        </w:rPr>
        <w:br/>
        <w:t xml:space="preserve">             +--&gt; return "other"</w:t>
      </w:r>
      <w:r>
        <w:rPr>
          <w:rFonts w:ascii="Consolas" w:hAnsi="Consolas"/>
          <w:sz w:val="18"/>
        </w:rPr>
        <w:br/>
        <w:t xml:space="preserve">             |</w:t>
      </w:r>
      <w:r>
        <w:rPr>
          <w:rFonts w:ascii="Consolas" w:hAnsi="Consolas"/>
          <w:sz w:val="18"/>
        </w:rPr>
        <w:br/>
        <w:t xml:space="preserve">             +--&gt; update miss ledger</w:t>
      </w:r>
    </w:p>
    <w:p w14:paraId="2985965C" w14:textId="77777777" w:rsidR="00F46ECE" w:rsidRDefault="00000000">
      <w:pPr>
        <w:rPr>
          <w:rFonts w:hint="eastAsia"/>
        </w:rPr>
      </w:pPr>
      <w:r>
        <w:t>The miss ledger is deduplicated per request rather than per row. For example, six identical occurrences of a merchant within one statement do not artificially count as six independent misses.</w:t>
      </w:r>
    </w:p>
    <w:p w14:paraId="04E60D1C" w14:textId="0EFD7AC7" w:rsidR="00F46ECE" w:rsidRDefault="00000000">
      <w:pPr>
        <w:rPr>
          <w:rFonts w:hint="eastAsia"/>
        </w:rPr>
      </w:pPr>
      <w:r>
        <w:t xml:space="preserve">The current implementation uses MERCHANT_MIN_HIT_COUNT = 3 as the default threshold for entering the proposal pipeline. Requiring repeated observations also reduces the chance that a </w:t>
      </w:r>
      <w:proofErr w:type="gramStart"/>
      <w:r>
        <w:t>one</w:t>
      </w:r>
      <w:r w:rsidR="00590DBD">
        <w:t xml:space="preserve"> </w:t>
      </w:r>
      <w:r>
        <w:t>off</w:t>
      </w:r>
      <w:proofErr w:type="gramEnd"/>
      <w:r>
        <w:t xml:space="preserve"> personal name from a statement is automatically treated as a merchant.</w:t>
      </w:r>
    </w:p>
    <w:p w14:paraId="08919BCE" w14:textId="77777777" w:rsidR="00F46ECE" w:rsidRDefault="00000000">
      <w:pPr>
        <w:pStyle w:val="Heading1"/>
      </w:pPr>
      <w:r>
        <w:t>7. Candidate Generation and Validation</w:t>
      </w:r>
    </w:p>
    <w:p w14:paraId="5512DCE4" w14:textId="77777777" w:rsidR="00F46ECE" w:rsidRDefault="00000000">
      <w:pPr>
        <w:rPr>
          <w:rFonts w:hint="eastAsia"/>
        </w:rPr>
      </w:pPr>
      <w:r>
        <w:t>Once an unresolved merchant reaches the proposal threshold, the curation process evaluates it using two independent LLM paths.</w:t>
      </w:r>
    </w:p>
    <w:tbl>
      <w:tblPr>
        <w:tblStyle w:val="TableGrid"/>
        <w:tblW w:w="0" w:type="auto"/>
        <w:jc w:val="center"/>
        <w:tblLook w:val="04A0" w:firstRow="1" w:lastRow="0" w:firstColumn="1" w:lastColumn="0" w:noHBand="0" w:noVBand="1"/>
      </w:tblPr>
      <w:tblGrid>
        <w:gridCol w:w="3308"/>
        <w:gridCol w:w="3309"/>
        <w:gridCol w:w="3309"/>
      </w:tblGrid>
      <w:tr w:rsidR="00F46ECE" w14:paraId="7853CE3D" w14:textId="77777777">
        <w:trPr>
          <w:jc w:val="center"/>
        </w:trPr>
        <w:tc>
          <w:tcPr>
            <w:tcW w:w="3312" w:type="dxa"/>
          </w:tcPr>
          <w:p w14:paraId="4FB0F35D" w14:textId="77777777" w:rsidR="00F46ECE" w:rsidRDefault="00000000">
            <w:pPr>
              <w:rPr>
                <w:rFonts w:hint="eastAsia"/>
              </w:rPr>
            </w:pPr>
            <w:r>
              <w:t>Path</w:t>
            </w:r>
          </w:p>
        </w:tc>
        <w:tc>
          <w:tcPr>
            <w:tcW w:w="3312" w:type="dxa"/>
          </w:tcPr>
          <w:p w14:paraId="52751D23" w14:textId="77777777" w:rsidR="00F46ECE" w:rsidRDefault="00000000">
            <w:pPr>
              <w:rPr>
                <w:rFonts w:hint="eastAsia"/>
              </w:rPr>
            </w:pPr>
            <w:r>
              <w:t>Input</w:t>
            </w:r>
          </w:p>
        </w:tc>
        <w:tc>
          <w:tcPr>
            <w:tcW w:w="3312" w:type="dxa"/>
          </w:tcPr>
          <w:p w14:paraId="71EBA632" w14:textId="77777777" w:rsidR="00F46ECE" w:rsidRDefault="00000000">
            <w:pPr>
              <w:rPr>
                <w:rFonts w:hint="eastAsia"/>
              </w:rPr>
            </w:pPr>
            <w:r>
              <w:t>Purpose</w:t>
            </w:r>
          </w:p>
        </w:tc>
      </w:tr>
      <w:tr w:rsidR="00F46ECE" w14:paraId="32B36B8F" w14:textId="77777777">
        <w:trPr>
          <w:jc w:val="center"/>
        </w:trPr>
        <w:tc>
          <w:tcPr>
            <w:tcW w:w="3312" w:type="dxa"/>
          </w:tcPr>
          <w:p w14:paraId="421BE096" w14:textId="77777777" w:rsidR="00F46ECE" w:rsidRDefault="00000000">
            <w:pPr>
              <w:rPr>
                <w:rFonts w:hint="eastAsia"/>
              </w:rPr>
            </w:pPr>
            <w:r>
              <w:t>Grounded</w:t>
            </w:r>
          </w:p>
        </w:tc>
        <w:tc>
          <w:tcPr>
            <w:tcW w:w="3312" w:type="dxa"/>
          </w:tcPr>
          <w:p w14:paraId="4283C005" w14:textId="77777777" w:rsidR="00F46ECE" w:rsidRDefault="00000000">
            <w:pPr>
              <w:rPr>
                <w:rFonts w:hint="eastAsia"/>
              </w:rPr>
            </w:pPr>
            <w:r>
              <w:t>LLM + web-search evidence</w:t>
            </w:r>
          </w:p>
        </w:tc>
        <w:tc>
          <w:tcPr>
            <w:tcW w:w="3312" w:type="dxa"/>
          </w:tcPr>
          <w:p w14:paraId="536A5E60" w14:textId="77777777" w:rsidR="00F46ECE" w:rsidRDefault="00000000">
            <w:pPr>
              <w:rPr>
                <w:rFonts w:hint="eastAsia"/>
              </w:rPr>
            </w:pPr>
            <w:r>
              <w:t>Use external evidence when classifying the merchant</w:t>
            </w:r>
          </w:p>
        </w:tc>
      </w:tr>
      <w:tr w:rsidR="00F46ECE" w14:paraId="1A02CCA5" w14:textId="77777777">
        <w:trPr>
          <w:jc w:val="center"/>
        </w:trPr>
        <w:tc>
          <w:tcPr>
            <w:tcW w:w="3312" w:type="dxa"/>
          </w:tcPr>
          <w:p w14:paraId="283208E5" w14:textId="77777777" w:rsidR="00F46ECE" w:rsidRDefault="00000000">
            <w:pPr>
              <w:rPr>
                <w:rFonts w:hint="eastAsia"/>
              </w:rPr>
            </w:pPr>
            <w:r>
              <w:t>Parametric</w:t>
            </w:r>
          </w:p>
        </w:tc>
        <w:tc>
          <w:tcPr>
            <w:tcW w:w="3312" w:type="dxa"/>
          </w:tcPr>
          <w:p w14:paraId="228BF8A8" w14:textId="77777777" w:rsidR="00F46ECE" w:rsidRDefault="00000000">
            <w:pPr>
              <w:rPr>
                <w:rFonts w:hint="eastAsia"/>
              </w:rPr>
            </w:pPr>
            <w:r>
              <w:t>LLM's internal knowledge</w:t>
            </w:r>
          </w:p>
        </w:tc>
        <w:tc>
          <w:tcPr>
            <w:tcW w:w="3312" w:type="dxa"/>
          </w:tcPr>
          <w:p w14:paraId="6ECF1919" w14:textId="77777777" w:rsidR="00F46ECE" w:rsidRDefault="00000000">
            <w:pPr>
              <w:rPr>
                <w:rFonts w:hint="eastAsia"/>
              </w:rPr>
            </w:pPr>
            <w:r>
              <w:t>Provide an independent classification without search evidence</w:t>
            </w:r>
          </w:p>
        </w:tc>
      </w:tr>
    </w:tbl>
    <w:p w14:paraId="78719374" w14:textId="77777777" w:rsidR="00F46ECE" w:rsidRDefault="00000000">
      <w:pPr>
        <w:rPr>
          <w:rFonts w:hint="eastAsia"/>
        </w:rPr>
      </w:pPr>
      <w:r>
        <w:t>Agreement between the two paths is used as an additional confidence signal. If an LLM provider is not configured, the StubProvider abstains rather than inventing a classification.</w:t>
      </w:r>
    </w:p>
    <w:p w14:paraId="3832CE37" w14:textId="77777777" w:rsidR="00F46ECE" w:rsidRDefault="00000000">
      <w:pPr>
        <w:pStyle w:val="Heading1"/>
      </w:pPr>
      <w:r>
        <w:t>8. Promotion and Risk Controls</w:t>
      </w:r>
    </w:p>
    <w:p w14:paraId="101DDE3D" w14:textId="77777777" w:rsidR="00F46ECE" w:rsidRDefault="00000000">
      <w:pPr>
        <w:rPr>
          <w:rFonts w:hint="eastAsia"/>
        </w:rPr>
      </w:pPr>
      <w:r>
        <w:t>Automatic promotion uses different confidence requirements depending on the severity of the classification. The current implementation uses the following thresholds:</w:t>
      </w:r>
    </w:p>
    <w:tbl>
      <w:tblPr>
        <w:tblStyle w:val="TableGrid"/>
        <w:tblW w:w="0" w:type="auto"/>
        <w:tblLook w:val="04A0" w:firstRow="1" w:lastRow="0" w:firstColumn="1" w:lastColumn="0" w:noHBand="0" w:noVBand="1"/>
      </w:tblPr>
      <w:tblGrid>
        <w:gridCol w:w="3308"/>
        <w:gridCol w:w="3309"/>
        <w:gridCol w:w="3309"/>
      </w:tblGrid>
      <w:tr w:rsidR="00F46ECE" w14:paraId="4403F864" w14:textId="77777777">
        <w:tc>
          <w:tcPr>
            <w:tcW w:w="3312" w:type="dxa"/>
          </w:tcPr>
          <w:p w14:paraId="64E37DDC" w14:textId="77777777" w:rsidR="00F46ECE" w:rsidRDefault="00000000">
            <w:pPr>
              <w:rPr>
                <w:rFonts w:hint="eastAsia"/>
              </w:rPr>
            </w:pPr>
            <w:r>
              <w:t>Category</w:t>
            </w:r>
          </w:p>
        </w:tc>
        <w:tc>
          <w:tcPr>
            <w:tcW w:w="3312" w:type="dxa"/>
          </w:tcPr>
          <w:p w14:paraId="06604781" w14:textId="77777777" w:rsidR="00F46ECE" w:rsidRDefault="00000000">
            <w:pPr>
              <w:rPr>
                <w:rFonts w:hint="eastAsia"/>
              </w:rPr>
            </w:pPr>
            <w:r>
              <w:t>Confidence</w:t>
            </w:r>
          </w:p>
        </w:tc>
        <w:tc>
          <w:tcPr>
            <w:tcW w:w="3312" w:type="dxa"/>
          </w:tcPr>
          <w:p w14:paraId="36A3C687" w14:textId="77777777" w:rsidR="00F46ECE" w:rsidRDefault="00000000">
            <w:pPr>
              <w:rPr>
                <w:rFonts w:hint="eastAsia"/>
              </w:rPr>
            </w:pPr>
            <w:r>
              <w:t>Additional requirement</w:t>
            </w:r>
          </w:p>
        </w:tc>
      </w:tr>
      <w:tr w:rsidR="00F46ECE" w14:paraId="220DCF8C" w14:textId="77777777">
        <w:tc>
          <w:tcPr>
            <w:tcW w:w="3312" w:type="dxa"/>
          </w:tcPr>
          <w:p w14:paraId="675CFBE0" w14:textId="77777777" w:rsidR="00F46ECE" w:rsidRDefault="00000000">
            <w:pPr>
              <w:rPr>
                <w:rFonts w:hint="eastAsia"/>
              </w:rPr>
            </w:pPr>
            <w:r>
              <w:t>Ordinary categories</w:t>
            </w:r>
          </w:p>
        </w:tc>
        <w:tc>
          <w:tcPr>
            <w:tcW w:w="3312" w:type="dxa"/>
          </w:tcPr>
          <w:p w14:paraId="7537C1A0" w14:textId="77777777" w:rsidR="00F46ECE" w:rsidRDefault="00000000">
            <w:pPr>
              <w:rPr>
                <w:rFonts w:hint="eastAsia"/>
              </w:rPr>
            </w:pPr>
            <w:r>
              <w:t>≥ 0.75</w:t>
            </w:r>
          </w:p>
        </w:tc>
        <w:tc>
          <w:tcPr>
            <w:tcW w:w="3312" w:type="dxa"/>
          </w:tcPr>
          <w:p w14:paraId="770BFDA0" w14:textId="77777777" w:rsidR="00F46ECE" w:rsidRDefault="00000000">
            <w:pPr>
              <w:rPr>
                <w:rFonts w:hint="eastAsia"/>
              </w:rPr>
            </w:pPr>
            <w:r>
              <w:t>Confidence threshold</w:t>
            </w:r>
          </w:p>
        </w:tc>
      </w:tr>
      <w:tr w:rsidR="00F46ECE" w14:paraId="260FE911" w14:textId="77777777">
        <w:tc>
          <w:tcPr>
            <w:tcW w:w="3312" w:type="dxa"/>
          </w:tcPr>
          <w:p w14:paraId="06E00169" w14:textId="77777777" w:rsidR="00F46ECE" w:rsidRDefault="00000000">
            <w:pPr>
              <w:rPr>
                <w:rFonts w:hint="eastAsia"/>
              </w:rPr>
            </w:pPr>
            <w:r>
              <w:t>High-severity categories</w:t>
            </w:r>
          </w:p>
        </w:tc>
        <w:tc>
          <w:tcPr>
            <w:tcW w:w="3312" w:type="dxa"/>
          </w:tcPr>
          <w:p w14:paraId="5AA2BA90" w14:textId="77777777" w:rsidR="00F46ECE" w:rsidRDefault="00000000">
            <w:pPr>
              <w:rPr>
                <w:rFonts w:hint="eastAsia"/>
              </w:rPr>
            </w:pPr>
            <w:r>
              <w:t>≥ 0.90</w:t>
            </w:r>
          </w:p>
        </w:tc>
        <w:tc>
          <w:tcPr>
            <w:tcW w:w="3312" w:type="dxa"/>
          </w:tcPr>
          <w:p w14:paraId="2FDC009A" w14:textId="77777777" w:rsidR="00F46ECE" w:rsidRDefault="00000000">
            <w:pPr>
              <w:rPr>
                <w:rFonts w:hint="eastAsia"/>
              </w:rPr>
            </w:pPr>
            <w:r>
              <w:t>Agreement between grounded and parametric paths</w:t>
            </w:r>
          </w:p>
        </w:tc>
      </w:tr>
    </w:tbl>
    <w:p w14:paraId="4B6CF1D7" w14:textId="77777777" w:rsidR="00F46ECE" w:rsidRDefault="00000000">
      <w:pPr>
        <w:rPr>
          <w:rFonts w:hint="eastAsia"/>
        </w:rPr>
      </w:pPr>
      <w:r>
        <w:t>High-severity categories currently include gambling, BNPL/lending, crypto and loan EMI. The stricter rule is intended to reduce false high-risk classifications.</w:t>
      </w:r>
    </w:p>
    <w:p w14:paraId="2D869594" w14:textId="77777777" w:rsidR="00F46ECE" w:rsidRDefault="00000000">
      <w:pPr>
        <w:pStyle w:val="Heading1"/>
      </w:pPr>
      <w:r>
        <w:t>9. Provenance and Reversal</w:t>
      </w:r>
    </w:p>
    <w:p w14:paraId="1F252BC1" w14:textId="77777777" w:rsidR="00F46ECE" w:rsidRDefault="00000000">
      <w:pPr>
        <w:rPr>
          <w:rFonts w:hint="eastAsia"/>
        </w:rPr>
      </w:pPr>
      <w:r>
        <w:t>Automatically promoted entries retain provenance information with the merchant record. The stored information includes the model, confidence, evidence, summary and timestamp.</w:t>
      </w:r>
    </w:p>
    <w:p w14:paraId="700C4E8C" w14:textId="77777777" w:rsidR="00F46ECE" w:rsidRDefault="00000000">
      <w:pPr>
        <w:rPr>
          <w:rFonts w:hint="eastAsia"/>
        </w:rPr>
      </w:pPr>
      <w:r>
        <w:t>The service also provides `/reverse/{name}`. Reversal is restricted to automatically promoted entries and does not overwrite hand-curated merchant entries.</w:t>
      </w:r>
    </w:p>
    <w:p w14:paraId="232E3CFC" w14:textId="77777777" w:rsidR="00F46ECE" w:rsidRDefault="00000000">
      <w:pPr>
        <w:pStyle w:val="Heading1"/>
      </w:pPr>
      <w:r>
        <w:lastRenderedPageBreak/>
        <w:t>10. API Surface</w:t>
      </w:r>
    </w:p>
    <w:tbl>
      <w:tblPr>
        <w:tblStyle w:val="TableGrid"/>
        <w:tblW w:w="0" w:type="auto"/>
        <w:tblLook w:val="04A0" w:firstRow="1" w:lastRow="0" w:firstColumn="1" w:lastColumn="0" w:noHBand="0" w:noVBand="1"/>
      </w:tblPr>
      <w:tblGrid>
        <w:gridCol w:w="4964"/>
        <w:gridCol w:w="4962"/>
      </w:tblGrid>
      <w:tr w:rsidR="00F46ECE" w14:paraId="3FFBC476" w14:textId="77777777">
        <w:tc>
          <w:tcPr>
            <w:tcW w:w="4968" w:type="dxa"/>
          </w:tcPr>
          <w:p w14:paraId="3FE64738" w14:textId="77777777" w:rsidR="00F46ECE" w:rsidRDefault="00000000">
            <w:pPr>
              <w:rPr>
                <w:rFonts w:hint="eastAsia"/>
              </w:rPr>
            </w:pPr>
            <w:r>
              <w:t>Endpoint</w:t>
            </w:r>
          </w:p>
        </w:tc>
        <w:tc>
          <w:tcPr>
            <w:tcW w:w="4968" w:type="dxa"/>
          </w:tcPr>
          <w:p w14:paraId="0047079D" w14:textId="77777777" w:rsidR="00F46ECE" w:rsidRDefault="00000000">
            <w:pPr>
              <w:rPr>
                <w:rFonts w:hint="eastAsia"/>
              </w:rPr>
            </w:pPr>
            <w:r>
              <w:t>Purpose</w:t>
            </w:r>
          </w:p>
        </w:tc>
      </w:tr>
      <w:tr w:rsidR="00F46ECE" w14:paraId="0B5AF37E" w14:textId="77777777">
        <w:tc>
          <w:tcPr>
            <w:tcW w:w="4968" w:type="dxa"/>
          </w:tcPr>
          <w:p w14:paraId="38ACC613" w14:textId="77777777" w:rsidR="00F46ECE" w:rsidRDefault="00000000">
            <w:pPr>
              <w:rPr>
                <w:rFonts w:hint="eastAsia"/>
              </w:rPr>
            </w:pPr>
            <w:r>
              <w:t>GET /health</w:t>
            </w:r>
          </w:p>
        </w:tc>
        <w:tc>
          <w:tcPr>
            <w:tcW w:w="4968" w:type="dxa"/>
          </w:tcPr>
          <w:p w14:paraId="57379BA5" w14:textId="77777777" w:rsidR="00F46ECE" w:rsidRDefault="00000000">
            <w:pPr>
              <w:rPr>
                <w:rFonts w:hint="eastAsia"/>
              </w:rPr>
            </w:pPr>
            <w:r>
              <w:t>Service health check</w:t>
            </w:r>
          </w:p>
        </w:tc>
      </w:tr>
      <w:tr w:rsidR="00F46ECE" w14:paraId="3A71C6B9" w14:textId="77777777">
        <w:tc>
          <w:tcPr>
            <w:tcW w:w="4968" w:type="dxa"/>
          </w:tcPr>
          <w:p w14:paraId="3B3BE77D" w14:textId="77777777" w:rsidR="00F46ECE" w:rsidRDefault="00000000">
            <w:pPr>
              <w:rPr>
                <w:rFonts w:hint="eastAsia"/>
              </w:rPr>
            </w:pPr>
            <w:r>
              <w:t>POST /api/v1/merchants/enrich</w:t>
            </w:r>
          </w:p>
        </w:tc>
        <w:tc>
          <w:tcPr>
            <w:tcW w:w="4968" w:type="dxa"/>
          </w:tcPr>
          <w:p w14:paraId="042C8187" w14:textId="77777777" w:rsidR="00F46ECE" w:rsidRDefault="00000000">
            <w:pPr>
              <w:rPr>
                <w:rFonts w:hint="eastAsia"/>
              </w:rPr>
            </w:pPr>
            <w:r>
              <w:t>Batch merchant enrichment</w:t>
            </w:r>
          </w:p>
        </w:tc>
      </w:tr>
      <w:tr w:rsidR="00F46ECE" w14:paraId="08F11039" w14:textId="77777777">
        <w:tc>
          <w:tcPr>
            <w:tcW w:w="4968" w:type="dxa"/>
          </w:tcPr>
          <w:p w14:paraId="39E18744" w14:textId="77777777" w:rsidR="00F46ECE" w:rsidRDefault="00000000">
            <w:pPr>
              <w:rPr>
                <w:rFonts w:hint="eastAsia"/>
              </w:rPr>
            </w:pPr>
            <w:r>
              <w:t>GET /unresolved</w:t>
            </w:r>
          </w:p>
        </w:tc>
        <w:tc>
          <w:tcPr>
            <w:tcW w:w="4968" w:type="dxa"/>
          </w:tcPr>
          <w:p w14:paraId="1C0F104D" w14:textId="77777777" w:rsidR="00F46ECE" w:rsidRDefault="00000000">
            <w:pPr>
              <w:rPr>
                <w:rFonts w:hint="eastAsia"/>
              </w:rPr>
            </w:pPr>
            <w:r>
              <w:t>View unresolved merchant queue</w:t>
            </w:r>
          </w:p>
        </w:tc>
      </w:tr>
      <w:tr w:rsidR="00F46ECE" w14:paraId="4934EE59" w14:textId="77777777">
        <w:tc>
          <w:tcPr>
            <w:tcW w:w="4968" w:type="dxa"/>
          </w:tcPr>
          <w:p w14:paraId="230821AB" w14:textId="77777777" w:rsidR="00F46ECE" w:rsidRDefault="00000000">
            <w:pPr>
              <w:rPr>
                <w:rFonts w:hint="eastAsia"/>
              </w:rPr>
            </w:pPr>
            <w:r>
              <w:t>POST /propose</w:t>
            </w:r>
          </w:p>
        </w:tc>
        <w:tc>
          <w:tcPr>
            <w:tcW w:w="4968" w:type="dxa"/>
          </w:tcPr>
          <w:p w14:paraId="0A005120" w14:textId="77777777" w:rsidR="00F46ECE" w:rsidRDefault="00000000">
            <w:pPr>
              <w:rPr>
                <w:rFonts w:hint="eastAsia"/>
              </w:rPr>
            </w:pPr>
            <w:r>
              <w:t>Run the curation/proposal process</w:t>
            </w:r>
          </w:p>
        </w:tc>
      </w:tr>
      <w:tr w:rsidR="00F46ECE" w14:paraId="51098E31" w14:textId="77777777">
        <w:tc>
          <w:tcPr>
            <w:tcW w:w="4968" w:type="dxa"/>
          </w:tcPr>
          <w:p w14:paraId="0EA8AF3E" w14:textId="77777777" w:rsidR="00F46ECE" w:rsidRDefault="00000000">
            <w:pPr>
              <w:rPr>
                <w:rFonts w:hint="eastAsia"/>
              </w:rPr>
            </w:pPr>
            <w:r>
              <w:t>GET /candidates</w:t>
            </w:r>
          </w:p>
        </w:tc>
        <w:tc>
          <w:tcPr>
            <w:tcW w:w="4968" w:type="dxa"/>
          </w:tcPr>
          <w:p w14:paraId="78578801" w14:textId="77777777" w:rsidR="00F46ECE" w:rsidRDefault="00000000">
            <w:pPr>
              <w:rPr>
                <w:rFonts w:hint="eastAsia"/>
              </w:rPr>
            </w:pPr>
            <w:r>
              <w:t>View proposal/audit information</w:t>
            </w:r>
          </w:p>
        </w:tc>
      </w:tr>
      <w:tr w:rsidR="00F46ECE" w14:paraId="7C508F59" w14:textId="77777777">
        <w:tc>
          <w:tcPr>
            <w:tcW w:w="4968" w:type="dxa"/>
          </w:tcPr>
          <w:p w14:paraId="76A0C324" w14:textId="77777777" w:rsidR="00F46ECE" w:rsidRDefault="00000000">
            <w:pPr>
              <w:rPr>
                <w:rFonts w:hint="eastAsia"/>
              </w:rPr>
            </w:pPr>
            <w:r>
              <w:t>POST /reverse/{name}</w:t>
            </w:r>
          </w:p>
        </w:tc>
        <w:tc>
          <w:tcPr>
            <w:tcW w:w="4968" w:type="dxa"/>
          </w:tcPr>
          <w:p w14:paraId="106B3803" w14:textId="77777777" w:rsidR="00F46ECE" w:rsidRDefault="00000000">
            <w:pPr>
              <w:rPr>
                <w:rFonts w:hint="eastAsia"/>
              </w:rPr>
            </w:pPr>
            <w:r>
              <w:t>Reverse an automatic promotion</w:t>
            </w:r>
          </w:p>
        </w:tc>
      </w:tr>
      <w:tr w:rsidR="00F46ECE" w14:paraId="26EFE998" w14:textId="77777777">
        <w:tc>
          <w:tcPr>
            <w:tcW w:w="4968" w:type="dxa"/>
          </w:tcPr>
          <w:p w14:paraId="39983561" w14:textId="77777777" w:rsidR="00F46ECE" w:rsidRDefault="00000000">
            <w:pPr>
              <w:rPr>
                <w:rFonts w:hint="eastAsia"/>
              </w:rPr>
            </w:pPr>
            <w:r>
              <w:t>POST /reload</w:t>
            </w:r>
          </w:p>
        </w:tc>
        <w:tc>
          <w:tcPr>
            <w:tcW w:w="4968" w:type="dxa"/>
          </w:tcPr>
          <w:p w14:paraId="1F44A162" w14:textId="77777777" w:rsidR="00F46ECE" w:rsidRDefault="00000000">
            <w:pPr>
              <w:rPr>
                <w:rFonts w:hint="eastAsia"/>
              </w:rPr>
            </w:pPr>
            <w:r>
              <w:t>Reload merchant dictionary</w:t>
            </w:r>
          </w:p>
        </w:tc>
      </w:tr>
    </w:tbl>
    <w:p w14:paraId="5CE14083" w14:textId="77777777" w:rsidR="00F46ECE" w:rsidRDefault="00000000">
      <w:pPr>
        <w:pStyle w:val="Heading2"/>
      </w:pPr>
      <w:r>
        <w:t>10.1 Authentication</w:t>
      </w:r>
    </w:p>
    <w:p w14:paraId="4874C8B1" w14:textId="77777777" w:rsidR="00F46ECE" w:rsidRDefault="00000000">
      <w:pPr>
        <w:rPr>
          <w:rFonts w:hint="eastAsia"/>
        </w:rPr>
      </w:pPr>
      <w:r>
        <w:t>The service uses an `X-API-Key` header for authentication. The key is checked with `secrets.compare_digest`. If authentication is not configured, the service fails closed and returns HTTP 503 rather than silently exposing the endpoint.</w:t>
      </w:r>
    </w:p>
    <w:p w14:paraId="434405BE" w14:textId="77777777" w:rsidR="00F46ECE" w:rsidRDefault="00000000">
      <w:pPr>
        <w:pStyle w:val="Heading1"/>
      </w:pPr>
      <w:r>
        <w:t>11. Latency and Resource Isolation</w:t>
      </w:r>
    </w:p>
    <w:p w14:paraId="239D22E4" w14:textId="2C95A017" w:rsidR="00F46ECE" w:rsidRDefault="00000000">
      <w:pPr>
        <w:rPr>
          <w:rFonts w:hint="eastAsia"/>
        </w:rPr>
      </w:pPr>
      <w:r>
        <w:t>The microservice boundary keeps the merchant lookup workload separate from SLM inference. The normal enrichment request does not perform the expensive LLM and web</w:t>
      </w:r>
      <w:r w:rsidR="00CD279C">
        <w:t xml:space="preserve"> </w:t>
      </w:r>
      <w:r>
        <w:t>search operations used for merchant discovery.</w:t>
      </w:r>
    </w:p>
    <w:p w14:paraId="5E5048A3" w14:textId="77777777" w:rsidR="00F46ECE" w:rsidRDefault="00000000">
      <w:pPr>
        <w:rPr>
          <w:rFonts w:hint="eastAsia"/>
        </w:rPr>
      </w:pPr>
      <w:r>
        <w:t>This matters operationally because the SLM process requires GPU resources, whereas merchant resolution can run on CPU-oriented infrastructure. Scaling the merchant workload therefore does not require scaling the GPU-backed engine at the same time.</w:t>
      </w:r>
    </w:p>
    <w:p w14:paraId="48FF7DD1" w14:textId="77777777" w:rsidR="00F46ECE" w:rsidRDefault="00000000">
      <w:pPr>
        <w:rPr>
          <w:rFonts w:hint="eastAsia"/>
        </w:rPr>
      </w:pPr>
      <w:r>
        <w:t>The curation path is also outside the live request path. A slow web request or LLM response cannot directly block a merchant enrichment request.</w:t>
      </w:r>
    </w:p>
    <w:p w14:paraId="0C8A8449" w14:textId="77777777" w:rsidR="00F46ECE" w:rsidRDefault="00000000">
      <w:pPr>
        <w:rPr>
          <w:rFonts w:hint="eastAsia"/>
        </w:rPr>
      </w:pPr>
      <w:r>
        <w:t>A measured latency figure should only be added after benchmarking the deployed service. The current architecture supports a lightweight lookup path, but this document does not claim a specific millisecond value without a benchmark.</w:t>
      </w:r>
    </w:p>
    <w:p w14:paraId="39019154" w14:textId="77777777" w:rsidR="00F46ECE" w:rsidRDefault="00000000">
      <w:pPr>
        <w:pStyle w:val="Heading1"/>
      </w:pPr>
      <w:r>
        <w:t>12. Testing Strategy</w:t>
      </w:r>
    </w:p>
    <w:p w14:paraId="0C310ED2" w14:textId="327E1BE0" w:rsidR="00F46ECE" w:rsidRDefault="00000000">
      <w:pPr>
        <w:rPr>
          <w:rFonts w:hint="eastAsia"/>
        </w:rPr>
      </w:pPr>
      <w:r>
        <w:t>The merchant service has its own test suite and can be exercised without loading the SLM or initializing the complete ML dependency chain. Deterministic substitutes such as StubProvider and FakeSearch are used for the curation</w:t>
      </w:r>
      <w:r w:rsidR="00CD279C">
        <w:t xml:space="preserve"> </w:t>
      </w:r>
      <w:r>
        <w:t>related tests.</w:t>
      </w:r>
    </w:p>
    <w:p w14:paraId="511256D2" w14:textId="77777777" w:rsidR="00F46ECE" w:rsidRDefault="00000000">
      <w:pPr>
        <w:rPr>
          <w:rFonts w:hint="eastAsia"/>
        </w:rPr>
      </w:pPr>
      <w:r>
        <w:t>The current tests cover areas including:</w:t>
      </w:r>
    </w:p>
    <w:p w14:paraId="47998989" w14:textId="3ECCA670" w:rsidR="00F46ECE" w:rsidRDefault="00000000">
      <w:pPr>
        <w:pStyle w:val="ListBullet"/>
        <w:rPr>
          <w:rFonts w:hint="eastAsia"/>
        </w:rPr>
      </w:pPr>
      <w:r>
        <w:t>Authentication and fail</w:t>
      </w:r>
      <w:r w:rsidR="00CD279C">
        <w:t xml:space="preserve"> </w:t>
      </w:r>
      <w:r>
        <w:t>closed behavior</w:t>
      </w:r>
    </w:p>
    <w:p w14:paraId="683E1F0A" w14:textId="18E86B55" w:rsidR="00F46ECE" w:rsidRDefault="00000000">
      <w:pPr>
        <w:pStyle w:val="ListBullet"/>
        <w:rPr>
          <w:rFonts w:hint="eastAsia"/>
        </w:rPr>
      </w:pPr>
      <w:r>
        <w:t>Cache staleness and dictionary</w:t>
      </w:r>
      <w:r w:rsidR="00CD279C">
        <w:t xml:space="preserve"> </w:t>
      </w:r>
      <w:r>
        <w:t>version handling</w:t>
      </w:r>
    </w:p>
    <w:p w14:paraId="3239AD68" w14:textId="352DFF53" w:rsidR="00F46ECE" w:rsidRDefault="00000000">
      <w:pPr>
        <w:pStyle w:val="ListBullet"/>
        <w:rPr>
          <w:rFonts w:hint="eastAsia"/>
        </w:rPr>
      </w:pPr>
      <w:r>
        <w:t>Prefix</w:t>
      </w:r>
      <w:r w:rsidR="00CD279C">
        <w:t xml:space="preserve"> </w:t>
      </w:r>
      <w:r>
        <w:t>match precedence</w:t>
      </w:r>
    </w:p>
    <w:p w14:paraId="69BE4266" w14:textId="77777777" w:rsidR="00F46ECE" w:rsidRDefault="00000000">
      <w:pPr>
        <w:pStyle w:val="ListBullet"/>
        <w:rPr>
          <w:rFonts w:hint="eastAsia"/>
        </w:rPr>
      </w:pPr>
      <w:r>
        <w:t>Merchant promotion and reversal</w:t>
      </w:r>
    </w:p>
    <w:p w14:paraId="4306382B" w14:textId="2BA13D8F" w:rsidR="00F46ECE" w:rsidRDefault="00000000">
      <w:pPr>
        <w:pStyle w:val="ListBullet"/>
        <w:rPr>
          <w:rFonts w:hint="eastAsia"/>
        </w:rPr>
      </w:pPr>
      <w:r>
        <w:t>Audit</w:t>
      </w:r>
      <w:r w:rsidR="00CD279C">
        <w:t xml:space="preserve"> </w:t>
      </w:r>
      <w:r>
        <w:t>trail completeness</w:t>
      </w:r>
    </w:p>
    <w:p w14:paraId="4CEFDDE0" w14:textId="77777777" w:rsidR="00F46ECE" w:rsidRDefault="00000000">
      <w:pPr>
        <w:rPr>
          <w:rFonts w:hint="eastAsia"/>
        </w:rPr>
      </w:pPr>
      <w:r>
        <w:t>This isolation also reduces the blast radius of merchant-specific changes. A change to alias resolution or cache handling can be validated by the merchant service test suite without requiring the SLM to be loaded.</w:t>
      </w:r>
    </w:p>
    <w:p w14:paraId="291FBDE2" w14:textId="77777777" w:rsidR="00F46ECE" w:rsidRDefault="00000000">
      <w:pPr>
        <w:pStyle w:val="Heading1"/>
      </w:pPr>
      <w:r>
        <w:lastRenderedPageBreak/>
        <w:t>13. Service Contract and Failure Handling</w:t>
      </w:r>
    </w:p>
    <w:p w14:paraId="41C442F8" w14:textId="77777777" w:rsidR="00F46ECE" w:rsidRDefault="00000000">
      <w:pPr>
        <w:rPr>
          <w:rFonts w:hint="eastAsia"/>
        </w:rPr>
      </w:pPr>
      <w:r>
        <w:t>The HTTP API forms the integration boundary between the engine and the merchant service. The engine does not need to depend on the merchant service's internal implementation.</w:t>
      </w:r>
    </w:p>
    <w:p w14:paraId="214A02F5" w14:textId="77777777" w:rsidR="00F46ECE" w:rsidRDefault="00000000">
      <w:pPr>
        <w:rPr>
          <w:rFonts w:hint="eastAsia"/>
        </w:rPr>
      </w:pPr>
      <w:r>
        <w:t>The architecture also supports graceful degradation. If the merchant service is unavailable, the engine can use local resolution as a fallback rather than treating merchant enrichment as a complete transaction-processing failure.</w:t>
      </w:r>
    </w:p>
    <w:p w14:paraId="2F6022D5" w14:textId="77777777" w:rsidR="00F46ECE" w:rsidRDefault="00000000">
      <w:pPr>
        <w:spacing w:before="80" w:after="80"/>
        <w:ind w:left="432"/>
        <w:rPr>
          <w:rFonts w:hint="eastAsia"/>
        </w:rPr>
      </w:pPr>
      <w:r>
        <w:rPr>
          <w:rFonts w:ascii="Consolas" w:hAnsi="Consolas"/>
          <w:sz w:val="18"/>
        </w:rPr>
        <w:t>Merchant service available</w:t>
      </w:r>
      <w:r>
        <w:rPr>
          <w:rFonts w:ascii="Consolas" w:hAnsi="Consolas"/>
          <w:sz w:val="18"/>
        </w:rPr>
        <w:br/>
        <w:t xml:space="preserve">        |</w:t>
      </w:r>
      <w:r>
        <w:rPr>
          <w:rFonts w:ascii="Consolas" w:hAnsi="Consolas"/>
          <w:sz w:val="18"/>
        </w:rPr>
        <w:br/>
        <w:t xml:space="preserve">        v</w:t>
      </w:r>
      <w:r>
        <w:rPr>
          <w:rFonts w:ascii="Consolas" w:hAnsi="Consolas"/>
          <w:sz w:val="18"/>
        </w:rPr>
        <w:br/>
        <w:t>Structured merchant profile</w:t>
      </w:r>
      <w:r>
        <w:rPr>
          <w:rFonts w:ascii="Consolas" w:hAnsi="Consolas"/>
          <w:sz w:val="18"/>
        </w:rPr>
        <w:br/>
      </w:r>
      <w:r>
        <w:rPr>
          <w:rFonts w:ascii="Consolas" w:hAnsi="Consolas"/>
          <w:sz w:val="18"/>
        </w:rPr>
        <w:br/>
        <w:t>Merchant service unavailable</w:t>
      </w:r>
      <w:r>
        <w:rPr>
          <w:rFonts w:ascii="Consolas" w:hAnsi="Consolas"/>
          <w:sz w:val="18"/>
        </w:rPr>
        <w:br/>
        <w:t xml:space="preserve">        |</w:t>
      </w:r>
      <w:r>
        <w:rPr>
          <w:rFonts w:ascii="Consolas" w:hAnsi="Consolas"/>
          <w:sz w:val="18"/>
        </w:rPr>
        <w:br/>
        <w:t xml:space="preserve">        v</w:t>
      </w:r>
      <w:r>
        <w:rPr>
          <w:rFonts w:ascii="Consolas" w:hAnsi="Consolas"/>
          <w:sz w:val="18"/>
        </w:rPr>
        <w:br/>
        <w:t>Local resolution / fallback</w:t>
      </w:r>
    </w:p>
    <w:p w14:paraId="16251734" w14:textId="77777777" w:rsidR="00F46ECE" w:rsidRDefault="00000000">
      <w:pPr>
        <w:pStyle w:val="Heading1"/>
      </w:pPr>
      <w:r>
        <w:t>14. Current Data and Merchant Knowledge</w:t>
      </w:r>
    </w:p>
    <w:p w14:paraId="27F7E6DB" w14:textId="77777777" w:rsidR="00F46ECE" w:rsidRDefault="00000000">
      <w:pPr>
        <w:rPr>
          <w:rFonts w:hint="eastAsia"/>
        </w:rPr>
      </w:pPr>
      <w:r>
        <w:t>The merchant dictionary is maintained in `data/india_merchants.json`. It contains hand-curated and automatically curated merchant information across areas such as food delivery, entertainment, investments, insurance, education, healthcare, utilities, BNPL/lending, gambling and crypto.</w:t>
      </w:r>
    </w:p>
    <w:p w14:paraId="6C60258A" w14:textId="77777777" w:rsidR="00F46ECE" w:rsidRDefault="00000000">
      <w:pPr>
        <w:rPr>
          <w:rFonts w:hint="eastAsia"/>
        </w:rPr>
      </w:pPr>
      <w:r>
        <w:t>High-risk categories are explicitly represented in the taxonomy. The data also contains a `gig_payout_sources` list used elsewhere in the engine for identifying gig-income sources such as Swiggy, Zomato, Uber and Ola.</w:t>
      </w:r>
    </w:p>
    <w:p w14:paraId="2199EE6C" w14:textId="794BA408" w:rsidR="00F46ECE" w:rsidRDefault="00F46ECE">
      <w:pPr>
        <w:rPr>
          <w:rFonts w:hint="eastAsia"/>
        </w:rPr>
      </w:pPr>
    </w:p>
    <w:sectPr w:rsidR="00F46EC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AA4B" w14:textId="77777777" w:rsidR="00DD4F80" w:rsidRDefault="00DD4F80">
      <w:pPr>
        <w:spacing w:after="0" w:line="240" w:lineRule="auto"/>
        <w:rPr>
          <w:rFonts w:hint="eastAsia"/>
        </w:rPr>
      </w:pPr>
      <w:r>
        <w:separator/>
      </w:r>
    </w:p>
  </w:endnote>
  <w:endnote w:type="continuationSeparator" w:id="0">
    <w:p w14:paraId="688A6BC4" w14:textId="77777777" w:rsidR="00DD4F80" w:rsidRDefault="00DD4F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F04B" w14:textId="5FE10BEE" w:rsidR="00F46ECE" w:rsidRDefault="00F46EC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E5C2C" w14:textId="77777777" w:rsidR="00DD4F80" w:rsidRDefault="00DD4F80">
      <w:pPr>
        <w:spacing w:after="0" w:line="240" w:lineRule="auto"/>
        <w:rPr>
          <w:rFonts w:hint="eastAsia"/>
        </w:rPr>
      </w:pPr>
      <w:r>
        <w:separator/>
      </w:r>
    </w:p>
  </w:footnote>
  <w:footnote w:type="continuationSeparator" w:id="0">
    <w:p w14:paraId="302276F1" w14:textId="77777777" w:rsidR="00DD4F80" w:rsidRDefault="00DD4F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037382">
    <w:abstractNumId w:val="8"/>
  </w:num>
  <w:num w:numId="2" w16cid:durableId="774983761">
    <w:abstractNumId w:val="6"/>
  </w:num>
  <w:num w:numId="3" w16cid:durableId="126239847">
    <w:abstractNumId w:val="5"/>
  </w:num>
  <w:num w:numId="4" w16cid:durableId="694624076">
    <w:abstractNumId w:val="4"/>
  </w:num>
  <w:num w:numId="5" w16cid:durableId="1441801066">
    <w:abstractNumId w:val="7"/>
  </w:num>
  <w:num w:numId="6" w16cid:durableId="885411960">
    <w:abstractNumId w:val="3"/>
  </w:num>
  <w:num w:numId="7" w16cid:durableId="1766925215">
    <w:abstractNumId w:val="2"/>
  </w:num>
  <w:num w:numId="8" w16cid:durableId="1688363432">
    <w:abstractNumId w:val="1"/>
  </w:num>
  <w:num w:numId="9" w16cid:durableId="178666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0DBD"/>
    <w:rsid w:val="00AA1D8D"/>
    <w:rsid w:val="00B47730"/>
    <w:rsid w:val="00CB0664"/>
    <w:rsid w:val="00CD279C"/>
    <w:rsid w:val="00DD4F80"/>
    <w:rsid w:val="00F46ECE"/>
    <w:rsid w:val="00FC693F"/>
    <w:rsid w:val="00FE5F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4A8A6"/>
  <w14:defaultImageDpi w14:val="300"/>
  <w15:docId w15:val="{AEBBD81E-BC51-4487-A259-98CCFAD8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Gargi K</cp:lastModifiedBy>
  <cp:revision>2</cp:revision>
  <dcterms:created xsi:type="dcterms:W3CDTF">2026-08-28T06:21:00Z</dcterms:created>
  <dcterms:modified xsi:type="dcterms:W3CDTF">2026-08-28T06:21:00Z</dcterms:modified>
  <cp:category/>
</cp:coreProperties>
</file>