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Federal Salesforce Solutions Architect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comprehensive experience delivering scalable, secure Salesforce solutions and integrations focused on federal and healthcare sectors. Specialized in Apex, Lightning Web Components, OmniStudio, and Experience Cloud implementations conforming to stringent federal security standards including NIST and FISMA. Proven collaborator with cross-functional teams and stakeholders to translate complex requirements into optimized, compliant technical solutions. Experienced in Salesforce Public Sector and federal compliance environments, delivering case management, citizen engagement portals, and secure integrations that improve operational efficiency and user adoption.</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 &amp; Customization</w:t>
      </w:r>
      <w:r>
        <w:rPr>
          <w:b/>
          <w:color w:val="1A1A1A"/>
          <w:sz w:val="20"/>
          <w:szCs w:val="20"/>
        </w:rPr>
        <w:t xml:space="preserve">:</w:t>
      </w:r>
      <w:r>
        <w:rPr>
          <w:color w:val="262626"/>
          <w:sz w:val="20"/>
          <w:szCs w:val="20"/>
        </w:rPr>
        <w:t xml:space="preserve"> Apex, Lightning Web Components (LWC), Visualforce, Aura Components, Salesforce OmniStudio (OmniScripts, FlexCards, DataRaptors, Integration Procedures), Lightning Flow, Salesforce Public Sector Solutions, Experience Cloud</w:t>
      </w:r>
    </w:p>
    <w:p>
      <w:pPr>
        <w:spacing w:before="0" w:after="0"/>
      </w:pPr>
      <w:r>
        <w:rPr>
          <w:b/>
          <w:color w:val="1A1A1A"/>
          <w:sz w:val="20"/>
          <w:szCs w:val="20"/>
        </w:rPr>
        <w:t xml:space="preserve">Salesforce Administration &amp; Configuration</w:t>
      </w:r>
      <w:r>
        <w:rPr>
          <w:b/>
          <w:color w:val="1A1A1A"/>
          <w:sz w:val="20"/>
          <w:szCs w:val="20"/>
        </w:rPr>
        <w:t xml:space="preserve">:</w:t>
      </w:r>
      <w:r>
        <w:rPr>
          <w:color w:val="262626"/>
          <w:sz w:val="20"/>
          <w:szCs w:val="20"/>
        </w:rPr>
        <w:t xml:space="preserve"> Profiles, Roles, Permission Sets, Sharing Rules, Field-Level Security, Record Types, Page Layouts, Validation Rules, Workflow Rules, Approval Processes, Flow Builder, Salesforce Org Administration (SSO, Email Relay, User Management, AppExchange Packages)</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APIs, SOAP APIs, Apex Callouts, Named Credentials, OAuth 2.0, Platform Events, Bulk API, Metadata API, Middleware/ETL Integration (MuleSoft Patterns), Secure Data Exchange, JSON, XML</w:t>
      </w:r>
    </w:p>
    <w:p>
      <w:pPr>
        <w:spacing w:before="0" w:after="0"/>
      </w:pPr>
      <w:r>
        <w:rPr>
          <w:b/>
          <w:color w:val="1A1A1A"/>
          <w:sz w:val="20"/>
          <w:szCs w:val="20"/>
        </w:rPr>
        <w:t xml:space="preserve">Federal Compliance &amp; DevOps</w:t>
      </w:r>
      <w:r>
        <w:rPr>
          <w:b/>
          <w:color w:val="1A1A1A"/>
          <w:sz w:val="20"/>
          <w:szCs w:val="20"/>
        </w:rPr>
        <w:t xml:space="preserve">:</w:t>
      </w:r>
      <w:r>
        <w:rPr>
          <w:color w:val="262626"/>
          <w:sz w:val="20"/>
          <w:szCs w:val="20"/>
        </w:rPr>
        <w:t xml:space="preserve"> NIST &amp; FISMA Security Compliance, Change and Release Management, Code Scan &amp; Remediation, Regression Testing, ATO Documentation, Secure Coding Practices, Agile Methodology (Jira, Confluence), Salesforce CLI, VS Code, Workbench</w:t>
      </w:r>
    </w:p>
    <w:p>
      <w:pPr>
        <w:spacing w:before="0" w:after="0"/>
      </w:pPr>
      <w:r>
        <w:rPr>
          <w:b/>
          <w:color w:val="1A1A1A"/>
          <w:sz w:val="20"/>
          <w:szCs w:val="20"/>
        </w:rPr>
        <w:t xml:space="preserve">Data Migration &amp; Data Management</w:t>
      </w:r>
      <w:r>
        <w:rPr>
          <w:b/>
          <w:color w:val="1A1A1A"/>
          <w:sz w:val="20"/>
          <w:szCs w:val="20"/>
        </w:rPr>
        <w:t xml:space="preserve">:</w:t>
      </w:r>
      <w:r>
        <w:rPr>
          <w:color w:val="262626"/>
          <w:sz w:val="20"/>
          <w:szCs w:val="20"/>
        </w:rPr>
        <w:t xml:space="preserve"> Data Mapping, Data Transformation, Validation, Salesforce Data Loader, External IDs, Schema Design, Data Quality, Duplicate Management</w:t>
      </w:r>
    </w:p>
    <w:p>
      <w:pPr>
        <w:spacing w:before="0" w:after="0"/>
      </w:pPr>
      <w:r>
        <w:rPr>
          <w:b/>
          <w:color w:val="1A1A1A"/>
          <w:sz w:val="20"/>
          <w:szCs w:val="20"/>
        </w:rPr>
        <w:t xml:space="preserve">User Training &amp; Documentation</w:t>
      </w:r>
      <w:r>
        <w:rPr>
          <w:b/>
          <w:color w:val="1A1A1A"/>
          <w:sz w:val="20"/>
          <w:szCs w:val="20"/>
        </w:rPr>
        <w:t xml:space="preserve">:</w:t>
      </w:r>
      <w:r>
        <w:rPr>
          <w:color w:val="262626"/>
          <w:sz w:val="20"/>
          <w:szCs w:val="20"/>
        </w:rPr>
        <w:t xml:space="preserve"> Technical Documentation, User Training Materials, Stakeholder Collaboration, Business Analysis Support, System Feature Adoption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scalable Lightning Web Components and OmniStudio solutions that improved process automation efficiency by 25%, utilizing OmniScripts, FlexCards, and Integration Procedures for guided customer workflows.</w:t>
      </w:r>
    </w:p>
    <w:p>
      <w:pPr>
        <w:spacing w:before="0" w:after="75"/>
        <w:ind w:left="640" w:hanging="200"/>
      </w:pPr>
      <w:r>
        <w:rPr>
          <w:color w:val="262626"/>
          <w:sz w:val="20"/>
          <w:szCs w:val="20"/>
        </w:rPr>
        <w:t xml:space="preserve">•  </w:t>
      </w:r>
      <w:r>
        <w:rPr>
          <w:color w:val="262626"/>
          <w:sz w:val="20"/>
          <w:szCs w:val="20"/>
        </w:rPr>
        <w:t xml:space="preserve">Engineered bulk-safe Apex asynchronous processing for over 250,000 monthly records, reducing automation failures by 20% and enhancing system scalability following Salesforce governor limits.</w:t>
      </w:r>
    </w:p>
    <w:p>
      <w:pPr>
        <w:spacing w:before="0" w:after="75"/>
        <w:ind w:left="640" w:hanging="200"/>
      </w:pPr>
      <w:r>
        <w:rPr>
          <w:color w:val="262626"/>
          <w:sz w:val="20"/>
          <w:szCs w:val="20"/>
        </w:rPr>
        <w:t xml:space="preserve">•  </w:t>
      </w:r>
      <w:r>
        <w:rPr>
          <w:color w:val="262626"/>
          <w:sz w:val="20"/>
          <w:szCs w:val="20"/>
        </w:rPr>
        <w:t xml:space="preserve">Led security architecture improvements enforcing least-privilege access with profiles, permission sets, and field-level security, decreasing access-related support incidents by 15%.</w:t>
      </w:r>
    </w:p>
    <w:p>
      <w:pPr>
        <w:spacing w:before="0" w:after="75"/>
        <w:ind w:left="640" w:hanging="200"/>
      </w:pPr>
      <w:r>
        <w:rPr>
          <w:color w:val="262626"/>
          <w:sz w:val="20"/>
          <w:szCs w:val="20"/>
        </w:rPr>
        <w:t xml:space="preserve">•  </w:t>
      </w:r>
      <w:r>
        <w:rPr>
          <w:color w:val="262626"/>
          <w:sz w:val="20"/>
          <w:szCs w:val="20"/>
        </w:rPr>
        <w:t xml:space="preserve">Implemented API-driven integrations across multiple platforms using REST APIs, Named Credentials, and OAuth 2.0, ensuring secure, compliant external system data exchange.</w:t>
      </w:r>
    </w:p>
    <w:p>
      <w:pPr>
        <w:spacing w:before="0" w:after="75"/>
        <w:ind w:left="640" w:hanging="200"/>
      </w:pPr>
      <w:r>
        <w:rPr>
          <w:color w:val="262626"/>
          <w:sz w:val="20"/>
          <w:szCs w:val="20"/>
        </w:rPr>
        <w:t xml:space="preserve">•  </w:t>
      </w:r>
      <w:r>
        <w:rPr>
          <w:color w:val="262626"/>
          <w:sz w:val="20"/>
          <w:szCs w:val="20"/>
        </w:rPr>
        <w:t xml:space="preserve">Modernized automation by replacing legacy workflows and Process Builder with record-triggered and scheduled flows combined with Apex invocable actions, enhancing maintainability and performance.</w:t>
      </w:r>
    </w:p>
    <w:p>
      <w:pPr>
        <w:spacing w:before="0" w:after="75"/>
        <w:ind w:left="640" w:hanging="200"/>
      </w:pPr>
      <w:r>
        <w:rPr>
          <w:color w:val="262626"/>
          <w:sz w:val="20"/>
          <w:szCs w:val="20"/>
        </w:rPr>
        <w:t xml:space="preserve">•  </w:t>
      </w:r>
      <w:r>
        <w:rPr>
          <w:color w:val="262626"/>
          <w:sz w:val="20"/>
          <w:szCs w:val="20"/>
        </w:rPr>
        <w:t xml:space="preserve">Supported Experience Cloud implementations enabling case management and authenticated portal access, improving partner and customer engagement and reducing case resolution time.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Customized Salesforce Public Sector Solutions and Experience Cloud portals, delivering secure citizen engagement features that reduced email-based inquiries by ~20%.</w:t>
      </w:r>
    </w:p>
    <w:p>
      <w:pPr>
        <w:spacing w:before="0" w:after="75"/>
        <w:ind w:left="640" w:hanging="200"/>
      </w:pPr>
      <w:r>
        <w:rPr>
          <w:color w:val="262626"/>
          <w:sz w:val="20"/>
          <w:szCs w:val="20"/>
        </w:rPr>
        <w:t xml:space="preserve">•  </w:t>
      </w:r>
      <w:r>
        <w:rPr>
          <w:color w:val="262626"/>
          <w:sz w:val="20"/>
          <w:szCs w:val="20"/>
        </w:rPr>
        <w:t xml:space="preserve">Developed integrated Salesforce OmniStudio components (OmniScripts, FlexCards, DataRaptors) to automate healthcare workflows and case management, improving member service turnaround by 18%.</w:t>
      </w:r>
    </w:p>
    <w:p>
      <w:pPr>
        <w:spacing w:before="0" w:after="75"/>
        <w:ind w:left="640" w:hanging="200"/>
      </w:pPr>
      <w:r>
        <w:rPr>
          <w:color w:val="262626"/>
          <w:sz w:val="20"/>
          <w:szCs w:val="20"/>
        </w:rPr>
        <w:t xml:space="preserve">•  </w:t>
      </w:r>
      <w:r>
        <w:rPr>
          <w:color w:val="262626"/>
          <w:sz w:val="20"/>
          <w:szCs w:val="20"/>
        </w:rPr>
        <w:t xml:space="preserve">Architected REST/SOAP API integrations following federal security standards, supporting secure data exchange between Salesforce and cloud-hosted enterprise systems.</w:t>
      </w:r>
    </w:p>
    <w:p>
      <w:pPr>
        <w:spacing w:before="0" w:after="75"/>
        <w:ind w:left="640" w:hanging="200"/>
      </w:pPr>
      <w:r>
        <w:rPr>
          <w:color w:val="262626"/>
          <w:sz w:val="20"/>
          <w:szCs w:val="20"/>
        </w:rPr>
        <w:t xml:space="preserve">•  </w:t>
      </w:r>
      <w:r>
        <w:rPr>
          <w:color w:val="262626"/>
          <w:sz w:val="20"/>
          <w:szCs w:val="20"/>
        </w:rPr>
        <w:t xml:space="preserve">Managed Salesforce security configuration — profiles, roles, permission sets, sharing rules — supporting HIPAA and federal compliance for healthcare payer environments.</w:t>
      </w:r>
    </w:p>
    <w:p>
      <w:pPr>
        <w:spacing w:before="0" w:after="75"/>
        <w:ind w:left="640" w:hanging="200"/>
      </w:pPr>
      <w:r>
        <w:rPr>
          <w:color w:val="262626"/>
          <w:sz w:val="20"/>
          <w:szCs w:val="20"/>
        </w:rPr>
        <w:t xml:space="preserve">•  </w:t>
      </w:r>
      <w:r>
        <w:rPr>
          <w:color w:val="262626"/>
          <w:sz w:val="20"/>
          <w:szCs w:val="20"/>
        </w:rPr>
        <w:t xml:space="preserve">Designed and executed Agentforce case-triage proof of concept using Salesforce Knowledge-grounded AI to automate response accuracy and controlled escalation, increasing support efficiency.</w:t>
      </w:r>
    </w:p>
    <w:p>
      <w:pPr>
        <w:spacing w:before="0" w:after="75"/>
        <w:ind w:left="640" w:hanging="200"/>
      </w:pPr>
      <w:r>
        <w:rPr>
          <w:color w:val="262626"/>
          <w:sz w:val="20"/>
          <w:szCs w:val="20"/>
        </w:rPr>
        <w:t xml:space="preserve">•  </w:t>
      </w:r>
      <w:r>
        <w:rPr>
          <w:color w:val="262626"/>
          <w:sz w:val="20"/>
          <w:szCs w:val="20"/>
        </w:rPr>
        <w:t xml:space="preserve">Implemented routing and scheduling automation with Chili Piper managing 1,500+ leads monthly, raising qualified meeting bookings by nearly 10%.</w:t>
      </w:r>
    </w:p>
    <w:p>
      <w:pPr>
        <w:spacing w:before="0" w:after="75"/>
        <w:ind w:left="640" w:hanging="200"/>
      </w:pPr>
      <w:r>
        <w:rPr>
          <w:color w:val="262626"/>
          <w:sz w:val="20"/>
          <w:szCs w:val="20"/>
        </w:rPr>
        <w:t xml:space="preserve">•  </w:t>
      </w:r>
      <w:r>
        <w:rPr>
          <w:color w:val="262626"/>
          <w:sz w:val="20"/>
          <w:szCs w:val="20"/>
        </w:rPr>
        <w:t xml:space="preserve">Guided DevOps activities including packaging, deployment automation, code scan remediations, and regression testing support, ensuring high-quality delivery aligned with release cycles.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maintained integrations using REST and SOAP APIs, implementing event-driven architecture with Platform Events and Change Data Capture to decouple systems.</w:t>
      </w:r>
    </w:p>
    <w:p>
      <w:pPr>
        <w:spacing w:before="0" w:after="75"/>
        <w:ind w:left="640" w:hanging="200"/>
      </w:pPr>
      <w:r>
        <w:rPr>
          <w:color w:val="262626"/>
          <w:sz w:val="20"/>
          <w:szCs w:val="20"/>
        </w:rPr>
        <w:t xml:space="preserve">•  </w:t>
      </w:r>
      <w:r>
        <w:rPr>
          <w:color w:val="262626"/>
          <w:sz w:val="20"/>
          <w:szCs w:val="20"/>
        </w:rPr>
        <w:t xml:space="preserve">Built Lightning FlexCards with role-based visibility to enhance user experience in Experience Cloud portals displaying customer and case data securely.</w:t>
      </w:r>
    </w:p>
    <w:p>
      <w:pPr>
        <w:spacing w:before="0" w:after="75"/>
        <w:ind w:left="640" w:hanging="200"/>
      </w:pPr>
      <w:r>
        <w:rPr>
          <w:color w:val="262626"/>
          <w:sz w:val="20"/>
          <w:szCs w:val="20"/>
        </w:rPr>
        <w:t xml:space="preserve">•  </w:t>
      </w:r>
      <w:r>
        <w:rPr>
          <w:color w:val="262626"/>
          <w:sz w:val="20"/>
          <w:szCs w:val="20"/>
        </w:rPr>
        <w:t xml:space="preserve">Supported cross-functional collaboration engaging architects and business analysts to produce scalable technical solutions aligned with stakeholder requirements and Salesforce best practices.</w:t>
      </w:r>
    </w:p>
    <w:p>
      <w:pPr>
        <w:spacing w:before="0" w:after="75"/>
        <w:ind w:left="640" w:hanging="200"/>
      </w:pPr>
      <w:r>
        <w:rPr>
          <w:color w:val="262626"/>
          <w:sz w:val="20"/>
          <w:szCs w:val="20"/>
        </w:rPr>
        <w:t xml:space="preserve">•  </w:t>
      </w:r>
      <w:r>
        <w:rPr>
          <w:color w:val="262626"/>
          <w:sz w:val="20"/>
          <w:szCs w:val="20"/>
        </w:rPr>
        <w:t xml:space="preserve">Contributed to Agile delivery including backlog grooming, peer code reviews, automated testing, and UAT to ensure quality deployments and reduced production incidents.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HIPAA-compliant Salesforce CRM solutions for healthcare payers, managing member services case management and workflow automation leveraging Apex, Visualforce, and Lightning Components.</w:t>
      </w:r>
    </w:p>
    <w:p>
      <w:pPr>
        <w:spacing w:before="0" w:after="75"/>
        <w:ind w:left="640" w:hanging="200"/>
      </w:pPr>
      <w:r>
        <w:rPr>
          <w:color w:val="262626"/>
          <w:sz w:val="20"/>
          <w:szCs w:val="20"/>
        </w:rPr>
        <w:t xml:space="preserve">•  </w:t>
      </w:r>
      <w:r>
        <w:rPr>
          <w:color w:val="262626"/>
          <w:sz w:val="20"/>
          <w:szCs w:val="20"/>
        </w:rPr>
        <w:t xml:space="preserve">Streamlined user access governance via periodic reviews and security configuration enhancements, improving audit readiness and aligning with data security policies.</w:t>
      </w:r>
    </w:p>
    <w:p>
      <w:pPr>
        <w:spacing w:before="0" w:after="75"/>
        <w:ind w:left="640" w:hanging="200"/>
      </w:pPr>
      <w:r>
        <w:rPr>
          <w:color w:val="262626"/>
          <w:sz w:val="20"/>
          <w:szCs w:val="20"/>
        </w:rPr>
        <w:t xml:space="preserve">•  </w:t>
      </w:r>
      <w:r>
        <w:rPr>
          <w:color w:val="262626"/>
          <w:sz w:val="20"/>
          <w:szCs w:val="20"/>
        </w:rPr>
        <w:t xml:space="preserve">Automated document generation processes cutting preparation time of proposals by 37% through managing PandaDoc templates and Salesforce merge-fields.</w:t>
      </w:r>
    </w:p>
    <w:p>
      <w:pPr>
        <w:spacing w:before="0" w:after="75"/>
        <w:ind w:left="640" w:hanging="200"/>
      </w:pPr>
      <w:r>
        <w:rPr>
          <w:color w:val="262626"/>
          <w:sz w:val="20"/>
          <w:szCs w:val="20"/>
        </w:rPr>
        <w:t xml:space="preserve">•  </w:t>
      </w:r>
      <w:r>
        <w:rPr>
          <w:color w:val="262626"/>
          <w:sz w:val="20"/>
          <w:szCs w:val="20"/>
        </w:rPr>
        <w:t xml:space="preserve">Managed and executed data quality initiatives including duplicate cleanup and field validation improving data integrity for 6,000+ Leads and Contacts.</w:t>
      </w:r>
    </w:p>
    <w:p>
      <w:pPr>
        <w:spacing w:before="0" w:after="75"/>
        <w:ind w:left="640" w:hanging="200"/>
      </w:pPr>
      <w:r>
        <w:rPr>
          <w:color w:val="262626"/>
          <w:sz w:val="20"/>
          <w:szCs w:val="20"/>
        </w:rPr>
        <w:t xml:space="preserve">•  </w:t>
      </w:r>
      <w:r>
        <w:rPr>
          <w:color w:val="262626"/>
          <w:sz w:val="20"/>
          <w:szCs w:val="20"/>
        </w:rPr>
        <w:t xml:space="preserve">Authored detailed release documentation and security impact assessments supporting compliance and audit requirements in regulated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direct technical and security support services to 200+ faculty and staff, resolving issues and mitigating security threats with Agile collaboration.</w:t>
      </w:r>
    </w:p>
    <w:p>
      <w:pPr>
        <w:spacing w:before="0" w:after="75"/>
        <w:ind w:left="640" w:hanging="200"/>
      </w:pPr>
      <w:r>
        <w:rPr>
          <w:color w:val="262626"/>
          <w:sz w:val="20"/>
          <w:szCs w:val="20"/>
        </w:rPr>
        <w:t xml:space="preserve">•  </w:t>
      </w:r>
      <w:r>
        <w:rPr>
          <w:color w:val="262626"/>
          <w:sz w:val="20"/>
          <w:szCs w:val="20"/>
        </w:rPr>
        <w:t xml:space="preserve">Collaborated with senior staff to implement solutions improving campus IT service delivery and incident management.</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controls and IT risk for Fortune 500 clients, identifying vulnerabilities and recommending mitigation strategies through process walkthroughs and documentation analysis.</w:t>
      </w:r>
    </w:p>
    <w:p>
      <w:pPr>
        <w:spacing w:before="0" w:after="75"/>
        <w:ind w:left="640" w:hanging="200"/>
      </w:pPr>
      <w:r>
        <w:rPr>
          <w:color w:val="262626"/>
          <w:sz w:val="20"/>
          <w:szCs w:val="20"/>
        </w:rPr>
        <w:t xml:space="preserve">•  </w:t>
      </w:r>
      <w:r>
        <w:rPr>
          <w:color w:val="262626"/>
          <w:sz w:val="20"/>
          <w:szCs w:val="20"/>
        </w:rPr>
        <w:t xml:space="preserve">Tested over 20 IT processes independently, contributing to comprehensive risk reports ensuring internal control effectiveness.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