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Cloud Architect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Salesforce Cloud Architect with 7+ years of experience in designing robust architectures for multiple Salesforce clouds, including Sales Cloud, Service Cloud, and Experience Cloud. Skilled in integrating enterprise applications, optimizing data models, and leveraging automation for complex, high-volume operations. Adept at aligning Salesforce solutions with business and technology objectives while championing scalability, security, and performance.</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Architecture</w:t>
      </w:r>
      <w:r>
        <w:rPr>
          <w:b/>
          <w:color w:val="1A1A1A"/>
          <w:sz w:val="20"/>
          <w:szCs w:val="20"/>
        </w:rPr>
        <w:t xml:space="preserve">:</w:t>
      </w:r>
      <w:r>
        <w:rPr>
          <w:color w:val="262626"/>
          <w:sz w:val="20"/>
          <w:szCs w:val="20"/>
        </w:rPr>
        <w:t xml:space="preserve"> Sales Cloud, Service Cloud, Revenue Cloud, Experience Cloud, Salesforce Platform</w:t>
      </w:r>
    </w:p>
    <w:p>
      <w:pPr>
        <w:spacing w:before="0" w:after="0"/>
      </w:pPr>
      <w:r>
        <w:rPr>
          <w:b/>
          <w:color w:val="1A1A1A"/>
          <w:sz w:val="20"/>
          <w:szCs w:val="20"/>
        </w:rPr>
        <w:t xml:space="preserve">Development</w:t>
      </w:r>
      <w:r>
        <w:rPr>
          <w:b/>
          <w:color w:val="1A1A1A"/>
          <w:sz w:val="20"/>
          <w:szCs w:val="20"/>
        </w:rPr>
        <w:t xml:space="preserve">:</w:t>
      </w:r>
      <w:r>
        <w:rPr>
          <w:color w:val="262626"/>
          <w:sz w:val="20"/>
          <w:szCs w:val="20"/>
        </w:rPr>
        <w:t xml:space="preserve"> Apex, Lightning Web Components, Salesforce Flow, Visualforce, Agentforce, Einstein AI</w:t>
      </w:r>
    </w:p>
    <w:p>
      <w:pPr>
        <w:spacing w:before="0" w:after="0"/>
      </w:pPr>
      <w:r>
        <w:rPr>
          <w:b/>
          <w:color w:val="1A1A1A"/>
          <w:sz w:val="20"/>
          <w:szCs w:val="20"/>
        </w:rPr>
        <w:t xml:space="preserve">Integration &amp; API Development</w:t>
      </w:r>
      <w:r>
        <w:rPr>
          <w:b/>
          <w:color w:val="1A1A1A"/>
          <w:sz w:val="20"/>
          <w:szCs w:val="20"/>
        </w:rPr>
        <w:t xml:space="preserve">:</w:t>
      </w:r>
      <w:r>
        <w:rPr>
          <w:color w:val="262626"/>
          <w:sz w:val="20"/>
          <w:szCs w:val="20"/>
        </w:rPr>
        <w:t xml:space="preserve"> REST API, SOAP API, Middleware, Event-Driven Architecture</w:t>
      </w:r>
    </w:p>
    <w:p>
      <w:pPr>
        <w:spacing w:before="0" w:after="0"/>
      </w:pPr>
      <w:r>
        <w:rPr>
          <w:b/>
          <w:color w:val="1A1A1A"/>
          <w:sz w:val="20"/>
          <w:szCs w:val="20"/>
        </w:rPr>
        <w:t xml:space="preserve">Data Management &amp; Modeling</w:t>
      </w:r>
      <w:r>
        <w:rPr>
          <w:b/>
          <w:color w:val="1A1A1A"/>
          <w:sz w:val="20"/>
          <w:szCs w:val="20"/>
        </w:rPr>
        <w:t xml:space="preserve">:</w:t>
      </w:r>
      <w:r>
        <w:rPr>
          <w:color w:val="262626"/>
          <w:sz w:val="20"/>
          <w:szCs w:val="20"/>
        </w:rPr>
        <w:t xml:space="preserve"> Scalable Data Models, Document-Centric Workflows, Optical Character Recognition</w:t>
      </w:r>
    </w:p>
    <w:p>
      <w:pPr>
        <w:spacing w:before="0" w:after="0"/>
      </w:pPr>
      <w:r>
        <w:rPr>
          <w:b/>
          <w:color w:val="1A1A1A"/>
          <w:sz w:val="20"/>
          <w:szCs w:val="20"/>
        </w:rPr>
        <w:t xml:space="preserve">Platform Governance &amp; Security</w:t>
      </w:r>
      <w:r>
        <w:rPr>
          <w:b/>
          <w:color w:val="1A1A1A"/>
          <w:sz w:val="20"/>
          <w:szCs w:val="20"/>
        </w:rPr>
        <w:t xml:space="preserve">:</w:t>
      </w:r>
      <w:r>
        <w:rPr>
          <w:color w:val="262626"/>
          <w:sz w:val="20"/>
          <w:szCs w:val="20"/>
        </w:rPr>
        <w:t xml:space="preserve"> Security Architecture, Code Review, Deployment Standards, Compliance Controls</w:t>
      </w:r>
    </w:p>
    <w:p>
      <w:pPr>
        <w:spacing w:before="0" w:after="0"/>
      </w:pPr>
      <w:r>
        <w:rPr>
          <w:b/>
          <w:color w:val="1A1A1A"/>
          <w:sz w:val="20"/>
          <w:szCs w:val="20"/>
        </w:rPr>
        <w:t xml:space="preserve">Stakeholder Management</w:t>
      </w:r>
      <w:r>
        <w:rPr>
          <w:b/>
          <w:color w:val="1A1A1A"/>
          <w:sz w:val="20"/>
          <w:szCs w:val="20"/>
        </w:rPr>
        <w:t xml:space="preserve">:</w:t>
      </w:r>
      <w:r>
        <w:rPr>
          <w:color w:val="262626"/>
          <w:sz w:val="20"/>
          <w:szCs w:val="20"/>
        </w:rPr>
        <w:t xml:space="preserve"> Technical Leadership, Cross-Functional Collaboration, Agile Methodologies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scalable Salesforce architecture solutions that accommodate high-volume data and document-centric processes.</w:t>
      </w:r>
    </w:p>
    <w:p>
      <w:pPr>
        <w:spacing w:before="0" w:after="75"/>
        <w:ind w:left="640" w:hanging="200"/>
      </w:pPr>
      <w:r>
        <w:rPr>
          <w:color w:val="262626"/>
          <w:sz w:val="20"/>
          <w:szCs w:val="20"/>
        </w:rPr>
        <w:t xml:space="preserve">•  </w:t>
      </w:r>
      <w:r>
        <w:rPr>
          <w:color w:val="262626"/>
          <w:sz w:val="20"/>
          <w:szCs w:val="20"/>
        </w:rPr>
        <w:t xml:space="preserve">Led integration initiatives with enterprise systems using REST APIs, enhancing data flow efficiency and system performance.</w:t>
      </w:r>
    </w:p>
    <w:p>
      <w:pPr>
        <w:spacing w:before="0" w:after="75"/>
        <w:ind w:left="640" w:hanging="200"/>
      </w:pPr>
      <w:r>
        <w:rPr>
          <w:color w:val="262626"/>
          <w:sz w:val="20"/>
          <w:szCs w:val="20"/>
        </w:rPr>
        <w:t xml:space="preserve">•  </w:t>
      </w:r>
      <w:r>
        <w:rPr>
          <w:color w:val="262626"/>
          <w:sz w:val="20"/>
          <w:szCs w:val="20"/>
        </w:rPr>
        <w:t xml:space="preserve">Architected Apex solutions and LWC components, ensuring optimal performance and adhering to best practices.</w:t>
      </w:r>
    </w:p>
    <w:p>
      <w:pPr>
        <w:spacing w:before="0" w:after="75"/>
        <w:ind w:left="640" w:hanging="200"/>
      </w:pPr>
      <w:r>
        <w:rPr>
          <w:color w:val="262626"/>
          <w:sz w:val="20"/>
          <w:szCs w:val="20"/>
        </w:rPr>
        <w:t xml:space="preserve">•  </w:t>
      </w:r>
      <w:r>
        <w:rPr>
          <w:color w:val="262626"/>
          <w:sz w:val="20"/>
          <w:szCs w:val="20"/>
        </w:rPr>
        <w:t xml:space="preserve">Implemented comprehensive Agentforce and Einstein AI validation scenarios to support advanced data-driven solutions.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Architected and supported Salesforce integrations across multiple clouds leveraging advanced API and middleware solutions.</w:t>
      </w:r>
    </w:p>
    <w:p>
      <w:pPr>
        <w:spacing w:before="0" w:after="75"/>
        <w:ind w:left="640" w:hanging="200"/>
      </w:pPr>
      <w:r>
        <w:rPr>
          <w:color w:val="262626"/>
          <w:sz w:val="20"/>
          <w:szCs w:val="20"/>
        </w:rPr>
        <w:t xml:space="preserve">•  </w:t>
      </w:r>
      <w:r>
        <w:rPr>
          <w:color w:val="262626"/>
          <w:sz w:val="20"/>
          <w:szCs w:val="20"/>
        </w:rPr>
        <w:t xml:space="preserve">Developed robust Salesforce security models and governance standards, enhancing platform reliability and integrity.</w:t>
      </w:r>
    </w:p>
    <w:p>
      <w:pPr>
        <w:spacing w:before="0" w:after="75"/>
        <w:ind w:left="640" w:hanging="200"/>
      </w:pPr>
      <w:r>
        <w:rPr>
          <w:color w:val="262626"/>
          <w:sz w:val="20"/>
          <w:szCs w:val="20"/>
        </w:rPr>
        <w:t xml:space="preserve">•  </w:t>
      </w:r>
      <w:r>
        <w:rPr>
          <w:color w:val="262626"/>
          <w:sz w:val="20"/>
          <w:szCs w:val="20"/>
        </w:rPr>
        <w:t xml:space="preserve">Collaborated with cross-functional teams to align Salesforce solutions with strategic business objectives.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Executed complex event-driven integration patterns to decouple Salesforce architecture and streamline processes.</w:t>
      </w:r>
    </w:p>
    <w:p>
      <w:pPr>
        <w:spacing w:before="0" w:after="75"/>
        <w:ind w:left="640" w:hanging="200"/>
      </w:pPr>
      <w:r>
        <w:rPr>
          <w:color w:val="262626"/>
          <w:sz w:val="20"/>
          <w:szCs w:val="20"/>
        </w:rPr>
        <w:t xml:space="preserve">•  </w:t>
      </w:r>
      <w:r>
        <w:rPr>
          <w:color w:val="262626"/>
          <w:sz w:val="20"/>
          <w:szCs w:val="20"/>
        </w:rPr>
        <w:t xml:space="preserve">Supported data-intensive workflows and document-centric operations to meet enterprise-level demands.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Crafted Salesforce solutions for healthcare environments, focusing on data security and compliance with industry standards.</w:t>
      </w:r>
    </w:p>
    <w:p>
      <w:pPr>
        <w:spacing w:before="0" w:after="75"/>
        <w:ind w:left="640" w:hanging="200"/>
      </w:pPr>
      <w:r>
        <w:rPr>
          <w:color w:val="262626"/>
          <w:sz w:val="20"/>
          <w:szCs w:val="20"/>
        </w:rPr>
        <w:t xml:space="preserve">•  </w:t>
      </w:r>
      <w:r>
        <w:rPr>
          <w:color w:val="262626"/>
          <w:sz w:val="20"/>
          <w:szCs w:val="20"/>
        </w:rPr>
        <w:t xml:space="preserve">Conducted governance reviews and implemented coding best practices to ensure adherence to Salesforce standards.</w:t>
      </w:r>
    </w:p>
    <w:p>
      <w:pPr>
        <w:spacing w:before="0" w:after="0"/>
      </w:pPr>
      <w:r>
        <w:rPr>
          <w:b/>
          <w:color w:val="1A1A1A"/>
          <w:sz w:val="21"/>
          <w:szCs w:val="21"/>
        </w:rPr>
        <w:t xml:space="preserve">Arizona State University - W. P. Carey School of Business</w:t>
      </w:r>
      <w:r>
        <w:rPr>
          <w:color w:val="1F5FA8"/>
          <w:sz w:val="21"/>
          <w:szCs w:val="21"/>
        </w:rPr>
        <w:t xml:space="preserve">|</w:t>
      </w:r>
      <w:r>
        <w:rPr>
          <w:i/>
          <w:color w:val="1F5FA8"/>
          <w:sz w:val="21"/>
          <w:szCs w:val="21"/>
        </w:rPr>
        <w:t xml:space="preserve">IT Support Specialist</w:t>
      </w:r>
    </w:p>
    <w:p>
      <w:pPr>
        <w:spacing w:before="0" w:after="0"/>
      </w:pPr>
      <w:r>
        <w:rPr>
          <w:i/>
          <w:color w:val="555555"/>
          <w:sz w:val="17"/>
          <w:szCs w:val="17"/>
        </w:rPr>
        <w:t xml:space="preserve">Jun 2016 - Dec 2018</w:t>
      </w:r>
      <w:r>
        <w:rPr>
          <w:i/>
          <w:color w:val="555555"/>
          <w:sz w:val="17"/>
          <w:szCs w:val="17"/>
        </w:rPr>
        <w:t xml:space="preserve">|</w:t>
      </w:r>
      <w:r>
        <w:rPr>
          <w:i/>
          <w:color w:val="555555"/>
          <w:sz w:val="17"/>
          <w:szCs w:val="17"/>
        </w:rPr>
        <w:t xml:space="preserve">Tempe, Arizona, United States</w:t>
      </w:r>
    </w:p>
    <w:p>
      <w:pPr>
        <w:spacing w:before="0" w:after="75"/>
        <w:ind w:left="640" w:hanging="200"/>
      </w:pPr>
      <w:r>
        <w:rPr>
          <w:color w:val="262626"/>
          <w:sz w:val="20"/>
          <w:szCs w:val="20"/>
        </w:rPr>
        <w:t xml:space="preserve">•  </w:t>
      </w:r>
      <w:r>
        <w:rPr>
          <w:color w:val="262626"/>
          <w:sz w:val="20"/>
          <w:szCs w:val="20"/>
        </w:rPr>
        <w:t xml:space="preserve">Collaborated on Agile solutions for technical issues and supported over 200 faculty and staff members in a high-demand environment.</w:t>
      </w:r>
    </w:p>
    <w:p>
      <w:pPr>
        <w:spacing w:before="0" w:after="0"/>
      </w:pPr>
      <w:r>
        <w:rPr>
          <w:b/>
          <w:color w:val="1A1A1A"/>
          <w:sz w:val="21"/>
          <w:szCs w:val="21"/>
        </w:rPr>
        <w:t xml:space="preserve">EY</w:t>
      </w:r>
      <w:r>
        <w:rPr>
          <w:color w:val="1F5FA8"/>
          <w:sz w:val="21"/>
          <w:szCs w:val="21"/>
        </w:rPr>
        <w:t xml:space="preserve">|</w:t>
      </w:r>
      <w:r>
        <w:rPr>
          <w:i/>
          <w:color w:val="1F5FA8"/>
          <w:sz w:val="21"/>
          <w:szCs w:val="21"/>
        </w:rPr>
        <w:t xml:space="preserve">Risk Advisory Intern</w:t>
      </w:r>
    </w:p>
    <w:p>
      <w:pPr>
        <w:spacing w:before="0" w:after="0"/>
      </w:pPr>
      <w:r>
        <w:rPr>
          <w:i/>
          <w:color w:val="555555"/>
          <w:sz w:val="17"/>
          <w:szCs w:val="17"/>
        </w:rPr>
        <w:t xml:space="preserve">Jun 2018 - Aug 2018</w:t>
      </w:r>
      <w:r>
        <w:rPr>
          <w:i/>
          <w:color w:val="555555"/>
          <w:sz w:val="17"/>
          <w:szCs w:val="17"/>
        </w:rPr>
        <w:t xml:space="preserve">|</w:t>
      </w:r>
      <w:r>
        <w:rPr>
          <w:i/>
          <w:color w:val="555555"/>
          <w:sz w:val="17"/>
          <w:szCs w:val="17"/>
        </w:rPr>
        <w:t xml:space="preserve">Greater Phoenix Area</w:t>
      </w:r>
    </w:p>
    <w:p>
      <w:pPr>
        <w:spacing w:before="0" w:after="75"/>
        <w:ind w:left="640" w:hanging="200"/>
      </w:pPr>
      <w:r>
        <w:rPr>
          <w:color w:val="262626"/>
          <w:sz w:val="20"/>
          <w:szCs w:val="20"/>
        </w:rPr>
        <w:t xml:space="preserve">•  </w:t>
      </w:r>
      <w:r>
        <w:rPr>
          <w:color w:val="262626"/>
          <w:sz w:val="20"/>
          <w:szCs w:val="20"/>
        </w:rPr>
        <w:t xml:space="preserve">Analyzed technology risks for Fortune 500 companies, detailing findings and implementing cybersecurity enhancements.</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