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Architect / Developer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Experienced and motivated Senior Salesforce Architect with over 7 years of expertise guiding Salesforce platform development, integrations, and architecture. Proficient in Apex, Lightning Web Components, CI/CD, and Salesforce DX, with an in-depth understanding of Sales Cloud, Service Cloud, Consumer Goods Cloud, and Marketing Cloud. Strong capability in leading architectural design, code quality, and release management within large-scale enterprise environments.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JavaScript, SOQL, SOSL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Integration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Salesforce AI (Einstein, Agentforce), MuleSoft, Informatica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CI/CD &amp; DevOps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DX, Git Branching Strategies (GitFlow), Automated Deployment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Cloud &amp; Architecture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AWS Lambda, API Gateway, S3, SQS, Enterprise Architecture, Integration Design Patterns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Web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HTML5, CSS3, JavaScript, AJAX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Products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 Cloud, Service Cloud, Consumer Goods Cloud, Marketing Cloud Next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Security &amp; Governance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Security Model, Compliance Controls, HIPAA Practices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Certifications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Certified Platform Developer I &amp; II, Application Architect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Salesforce programmatic requests, platform enhancements, and system integrations using LWC and Apex.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cloud-native solutions and scalable Salesforce architecture aligned with business needs.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Established and enforced code quality standards and CI/CD pipelines using SFDX, GitHub Actions.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Salesforce production support, monitoring, and troubleshooting strategic initiatives.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Orchestrated Salesforce integrations with external systems, employing REST API and asynchronous patterns.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and supported Sales and Service Cloud, contributing to secure data access and HIPAA practices.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Agentforce-driven service automations and AI-integrated solutions.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Apex REST services and Salesforce-AWS integrations using Boomi.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Championed team Agile practices, providing technical and integration pattern guidance.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healthcare CRM Salesforce solutions and automated secure data compliance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Enforced Salesforce security and data quality measures to enhance regulatory compliance.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IT support and diagnosed technical issues for faculty and staff, enhancing operational efficiency.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Identified technology risks and conducted process testing to ensure compliance within Fortune 500 companies.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