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l72kmb9ipu" w:id="0"/>
      <w:bookmarkEnd w:id="0"/>
      <w:r w:rsidDel="00000000" w:rsidR="00000000" w:rsidRPr="00000000">
        <w:rPr>
          <w:rtl w:val="0"/>
        </w:rPr>
        <w:t xml:space="preserve">Idea Generation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President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 Houses of the Oireachtas (the Irish parliament).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(Dal is more powerful)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65b96"/>
            <w:sz w:val="19"/>
            <w:szCs w:val="19"/>
            <w:highlight w:val="white"/>
            <w:u w:val="single"/>
            <w:rtl w:val="0"/>
          </w:rPr>
          <w:t xml:space="preserve">Seanad</w:t>
        </w:r>
      </w:hyperlink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  tds and parties makes up the laws and say it in the dail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itizensinformation.ie/en/government_in_ireland/national_government/houses_of_the_oireachtas/the_seanad.html" TargetMode="External"/></Relationships>
</file>