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pPr>
      <w:bookmarkStart w:colFirst="0" w:colLast="0" w:name="_5dsp6f14slwu" w:id="0"/>
      <w:bookmarkEnd w:id="0"/>
      <w:r w:rsidDel="00000000" w:rsidR="00000000" w:rsidRPr="00000000">
        <w:rPr>
          <w:rtl w:val="0"/>
        </w:rPr>
        <w:t xml:space="preserve">Defamation Act 2009</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Creates a single tort of defamation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There is no longer a distinction between libel and sander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All claims are now actionable without proof of special damage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publication </w:t>
      </w:r>
      <w:r w:rsidDel="00000000" w:rsidR="00000000" w:rsidRPr="00000000">
        <w:rPr>
          <w:b w:val="1"/>
          <w:rtl w:val="0"/>
        </w:rPr>
        <w:t xml:space="preserve">by any means </w:t>
      </w:r>
      <w:r w:rsidDel="00000000" w:rsidR="00000000" w:rsidRPr="00000000">
        <w:rPr>
          <w:rtl w:val="0"/>
        </w:rPr>
        <w:t xml:space="preserve">of a defamatory statement concerning a person to another person or persons - S6(2)</w:t>
      </w:r>
    </w:p>
    <w:p w:rsidR="00000000" w:rsidDel="00000000" w:rsidP="00000000" w:rsidRDefault="00000000" w:rsidRPr="00000000">
      <w:pPr>
        <w:pStyle w:val="Heading2"/>
        <w:contextualSpacing w:val="0"/>
      </w:pPr>
      <w:bookmarkStart w:colFirst="0" w:colLast="0" w:name="_9jo6j5pmqs1c" w:id="1"/>
      <w:bookmarkEnd w:id="1"/>
      <w:r w:rsidDel="00000000" w:rsidR="00000000" w:rsidRPr="00000000">
        <w:rPr>
          <w:rtl w:val="0"/>
        </w:rPr>
        <w:t xml:space="preserve">The Plaintiff</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person who has been the subject of a defamatory statement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Deceased persons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Corporate persons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Public bodies</w:t>
      </w:r>
    </w:p>
    <w:p w:rsidR="00000000" w:rsidDel="00000000" w:rsidP="00000000" w:rsidRDefault="00000000" w:rsidRPr="00000000">
      <w:pPr>
        <w:pStyle w:val="Heading2"/>
        <w:contextualSpacing w:val="0"/>
        <w:rPr/>
      </w:pPr>
      <w:bookmarkStart w:colFirst="0" w:colLast="0" w:name="_y11hy0qnv8tg" w:id="2"/>
      <w:bookmarkEnd w:id="2"/>
      <w:r w:rsidDel="00000000" w:rsidR="00000000" w:rsidRPr="00000000">
        <w:rPr>
          <w:rtl w:val="0"/>
        </w:rPr>
        <w:t xml:space="preserve">The Defendant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Any person involved in the publication is a potential defendant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person who makes the statement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Media organisations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Individuals involved in production and distribution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Vicarious liability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Defence of ‘innocent publication’ S27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rby82qfzc9qj" w:id="3"/>
      <w:bookmarkEnd w:id="3"/>
      <w:r w:rsidDel="00000000" w:rsidR="00000000" w:rsidRPr="00000000">
        <w:rPr>
          <w:rtl w:val="0"/>
        </w:rPr>
        <w:t xml:space="preserve">Defamatory</w:t>
      </w:r>
    </w:p>
    <w:p w:rsidR="00000000" w:rsidDel="00000000" w:rsidP="00000000" w:rsidRDefault="00000000" w:rsidRPr="00000000">
      <w:pPr>
        <w:contextualSpacing w:val="0"/>
      </w:pPr>
      <w:r w:rsidDel="00000000" w:rsidR="00000000" w:rsidRPr="00000000">
        <w:rPr>
          <w:color w:val="222222"/>
          <w:highlight w:val="white"/>
          <w:rtl w:val="0"/>
        </w:rPr>
        <w:t xml:space="preserve">(of remarks, writing, etc.) damaging the good reputation of someone; slanderous or libellous.</w:t>
      </w:r>
    </w:p>
    <w:p w:rsidR="00000000" w:rsidDel="00000000" w:rsidP="00000000" w:rsidRDefault="00000000" w:rsidRPr="00000000">
      <w:pPr>
        <w:contextualSpacing w:val="0"/>
      </w:pPr>
      <w:r w:rsidDel="00000000" w:rsidR="00000000" w:rsidRPr="00000000">
        <w:rPr>
          <w:color w:val="222222"/>
          <w:highlight w:val="white"/>
          <w:rtl w:val="0"/>
        </w:rPr>
        <w:t xml:space="preserve">Or</w:t>
      </w:r>
    </w:p>
    <w:p w:rsidR="00000000" w:rsidDel="00000000" w:rsidP="00000000" w:rsidRDefault="00000000" w:rsidRPr="00000000">
      <w:pPr>
        <w:contextualSpacing w:val="0"/>
      </w:pPr>
      <w:r w:rsidDel="00000000" w:rsidR="00000000" w:rsidRPr="00000000">
        <w:rPr>
          <w:color w:val="222222"/>
          <w:highlight w:val="white"/>
          <w:rtl w:val="0"/>
        </w:rPr>
        <w:t xml:space="preserve">Tends to injure a persons reputation in the eyes of reasonable members of society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hylem3pq90sr" w:id="4"/>
      <w:bookmarkEnd w:id="4"/>
      <w:r w:rsidDel="00000000" w:rsidR="00000000" w:rsidRPr="00000000">
        <w:rPr>
          <w:rtl w:val="0"/>
        </w:rPr>
        <w:t xml:space="preserve">Role of the Jury</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Determine the meaning which ought to be attributed to the statement</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Decide whether that meaning would injure the reputation of the person in the eyes of reasonable (right thinking) members of society</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Cooper Flynn v RTE (2004)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iols0pbj8zv" w:id="5"/>
      <w:bookmarkEnd w:id="5"/>
      <w:r w:rsidDel="00000000" w:rsidR="00000000" w:rsidRPr="00000000">
        <w:rPr>
          <w:rtl w:val="0"/>
        </w:rPr>
        <w:t xml:space="preserve">Role of the Judge</w:t>
      </w:r>
    </w:p>
    <w:p w:rsidR="00000000" w:rsidDel="00000000" w:rsidP="00000000" w:rsidRDefault="00000000" w:rsidRPr="00000000">
      <w:pPr>
        <w:numPr>
          <w:ilvl w:val="0"/>
          <w:numId w:val="10"/>
        </w:numPr>
        <w:ind w:left="720" w:hanging="360"/>
        <w:contextualSpacing w:val="1"/>
        <w:rPr>
          <w:color w:val="222222"/>
          <w:highlight w:val="white"/>
          <w:u w:val="none"/>
        </w:rPr>
      </w:pPr>
      <w:r w:rsidDel="00000000" w:rsidR="00000000" w:rsidRPr="00000000">
        <w:rPr>
          <w:color w:val="222222"/>
          <w:highlight w:val="white"/>
          <w:rtl w:val="0"/>
        </w:rPr>
        <w:t xml:space="preserve">Rule on questions of law</w:t>
      </w:r>
    </w:p>
    <w:p w:rsidR="00000000" w:rsidDel="00000000" w:rsidP="00000000" w:rsidRDefault="00000000" w:rsidRPr="00000000">
      <w:pPr>
        <w:numPr>
          <w:ilvl w:val="0"/>
          <w:numId w:val="10"/>
        </w:numPr>
        <w:ind w:left="720" w:hanging="360"/>
        <w:contextualSpacing w:val="1"/>
        <w:rPr>
          <w:color w:val="222222"/>
          <w:highlight w:val="white"/>
          <w:u w:val="none"/>
        </w:rPr>
      </w:pPr>
      <w:r w:rsidDel="00000000" w:rsidR="00000000" w:rsidRPr="00000000">
        <w:rPr>
          <w:color w:val="222222"/>
          <w:highlight w:val="white"/>
          <w:rtl w:val="0"/>
        </w:rPr>
        <w:t xml:space="preserve">Instruct the jury as to the meaning of defamation</w:t>
      </w:r>
    </w:p>
    <w:p w:rsidR="00000000" w:rsidDel="00000000" w:rsidP="00000000" w:rsidRDefault="00000000" w:rsidRPr="00000000">
      <w:pPr>
        <w:numPr>
          <w:ilvl w:val="0"/>
          <w:numId w:val="10"/>
        </w:numPr>
        <w:ind w:left="720" w:hanging="360"/>
        <w:contextualSpacing w:val="1"/>
        <w:rPr>
          <w:color w:val="222222"/>
          <w:highlight w:val="white"/>
          <w:u w:val="none"/>
        </w:rPr>
      </w:pPr>
      <w:r w:rsidDel="00000000" w:rsidR="00000000" w:rsidRPr="00000000">
        <w:rPr>
          <w:color w:val="222222"/>
          <w:highlight w:val="white"/>
          <w:rtl w:val="0"/>
        </w:rPr>
        <w:t xml:space="preserve">May express own view as to the meaning of the words</w:t>
      </w:r>
    </w:p>
    <w:p w:rsidR="00000000" w:rsidDel="00000000" w:rsidP="00000000" w:rsidRDefault="00000000" w:rsidRPr="00000000">
      <w:pPr>
        <w:numPr>
          <w:ilvl w:val="0"/>
          <w:numId w:val="10"/>
        </w:numPr>
        <w:ind w:left="720" w:hanging="360"/>
        <w:contextualSpacing w:val="1"/>
        <w:rPr>
          <w:color w:val="222222"/>
          <w:highlight w:val="white"/>
          <w:u w:val="none"/>
        </w:rPr>
      </w:pPr>
      <w:r w:rsidDel="00000000" w:rsidR="00000000" w:rsidRPr="00000000">
        <w:rPr>
          <w:color w:val="222222"/>
          <w:highlight w:val="white"/>
          <w:rtl w:val="0"/>
        </w:rPr>
        <w:t xml:space="preserve">Barrett v Independent Newspapers (1986)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highlight w:val="white"/>
          <w:rtl w:val="0"/>
        </w:rPr>
        <w:t xml:space="preserve">Defences</w:t>
      </w:r>
      <w:r w:rsidDel="00000000" w:rsidR="00000000" w:rsidRPr="00000000">
        <w:rPr>
          <w:color w:val="222222"/>
          <w:highlight w:val="white"/>
          <w:rtl w:val="0"/>
        </w:rPr>
        <w:t xml:space="preserve"> the action of defending from or resisting attack.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n9hrk2ih97b1" w:id="6"/>
      <w:bookmarkEnd w:id="6"/>
      <w:r w:rsidDel="00000000" w:rsidR="00000000" w:rsidRPr="00000000">
        <w:rPr>
          <w:rtl w:val="0"/>
        </w:rPr>
        <w:t xml:space="preserve">Defamation and the Internet</w:t>
      </w:r>
    </w:p>
    <w:p w:rsidR="00000000" w:rsidDel="00000000" w:rsidP="00000000" w:rsidRDefault="00000000" w:rsidRPr="00000000">
      <w:pPr>
        <w:contextualSpacing w:val="0"/>
      </w:pPr>
      <w:r w:rsidDel="00000000" w:rsidR="00000000" w:rsidRPr="00000000">
        <w:rPr>
          <w:b w:val="1"/>
          <w:rtl w:val="0"/>
        </w:rPr>
        <w:t xml:space="preserve">Publication </w:t>
      </w:r>
    </w:p>
    <w:p w:rsidR="00000000" w:rsidDel="00000000" w:rsidP="00000000" w:rsidRDefault="00000000" w:rsidRPr="00000000">
      <w:pPr>
        <w:ind w:firstLine="720"/>
        <w:contextualSpacing w:val="0"/>
      </w:pPr>
      <w:r w:rsidDel="00000000" w:rsidR="00000000" w:rsidRPr="00000000">
        <w:rPr>
          <w:rtl w:val="0"/>
        </w:rPr>
        <w:t xml:space="preserve">Carrie v Tolkien (2009)</w:t>
      </w:r>
    </w:p>
    <w:p w:rsidR="00000000" w:rsidDel="00000000" w:rsidP="00000000" w:rsidRDefault="00000000" w:rsidRPr="00000000">
      <w:pPr>
        <w:ind w:firstLine="720"/>
        <w:contextualSpacing w:val="0"/>
      </w:pPr>
      <w:r w:rsidDel="00000000" w:rsidR="00000000" w:rsidRPr="00000000">
        <w:rPr>
          <w:rtl w:val="0"/>
        </w:rPr>
        <w:t xml:space="preserve">Gregg v O’Gara (2008)</w:t>
      </w:r>
    </w:p>
    <w:p w:rsidR="00000000" w:rsidDel="00000000" w:rsidP="00000000" w:rsidRDefault="00000000" w:rsidRPr="00000000">
      <w:pPr>
        <w:contextualSpacing w:val="0"/>
      </w:pPr>
      <w:r w:rsidDel="00000000" w:rsidR="00000000" w:rsidRPr="00000000">
        <w:rPr>
          <w:b w:val="1"/>
          <w:rtl w:val="0"/>
        </w:rPr>
        <w:t xml:space="preserve">Liability</w:t>
      </w:r>
    </w:p>
    <w:p w:rsidR="00000000" w:rsidDel="00000000" w:rsidP="00000000" w:rsidRDefault="00000000" w:rsidRPr="00000000">
      <w:pPr>
        <w:ind w:firstLine="720"/>
        <w:contextualSpacing w:val="0"/>
      </w:pPr>
      <w:r w:rsidDel="00000000" w:rsidR="00000000" w:rsidRPr="00000000">
        <w:rPr>
          <w:rtl w:val="0"/>
        </w:rPr>
        <w:t xml:space="preserve">E-Commerce Regulations</w:t>
      </w:r>
    </w:p>
    <w:p w:rsidR="00000000" w:rsidDel="00000000" w:rsidP="00000000" w:rsidRDefault="00000000" w:rsidRPr="00000000">
      <w:pPr>
        <w:ind w:left="720" w:firstLine="0"/>
        <w:contextualSpacing w:val="0"/>
      </w:pPr>
      <w:r w:rsidDel="00000000" w:rsidR="00000000" w:rsidRPr="00000000">
        <w:rPr>
          <w:rtl w:val="0"/>
        </w:rPr>
        <w:t xml:space="preserve">Mere Conduit, Caching and Hosting</w:t>
      </w:r>
    </w:p>
    <w:p w:rsidR="00000000" w:rsidDel="00000000" w:rsidP="00000000" w:rsidRDefault="00000000" w:rsidRPr="00000000">
      <w:pPr>
        <w:ind w:left="720" w:firstLine="0"/>
        <w:contextualSpacing w:val="0"/>
      </w:pPr>
      <w:r w:rsidDel="00000000" w:rsidR="00000000" w:rsidRPr="00000000">
        <w:rPr>
          <w:rtl w:val="0"/>
        </w:rPr>
        <w:t xml:space="preserve">EMI v UPC (2010)</w:t>
      </w:r>
    </w:p>
    <w:p w:rsidR="00000000" w:rsidDel="00000000" w:rsidP="00000000" w:rsidRDefault="00000000" w:rsidRPr="00000000">
      <w:pPr>
        <w:ind w:left="720" w:firstLine="0"/>
        <w:contextualSpacing w:val="0"/>
      </w:pPr>
      <w:r w:rsidDel="00000000" w:rsidR="00000000" w:rsidRPr="00000000">
        <w:rPr>
          <w:rtl w:val="0"/>
        </w:rPr>
        <w:t xml:space="preserve">Bunt v Tilley and others (2006)</w:t>
      </w:r>
    </w:p>
    <w:p w:rsidR="00000000" w:rsidDel="00000000" w:rsidP="00000000" w:rsidRDefault="00000000" w:rsidRPr="00000000">
      <w:pPr>
        <w:ind w:left="720" w:firstLine="0"/>
        <w:contextualSpacing w:val="0"/>
      </w:pPr>
      <w:r w:rsidDel="00000000" w:rsidR="00000000" w:rsidRPr="00000000">
        <w:rPr>
          <w:rtl w:val="0"/>
        </w:rPr>
        <w:t xml:space="preserve">Mulvaney v Betfair (2009)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highlight w:val="white"/>
          <w:rtl w:val="0"/>
        </w:rPr>
        <w:t xml:space="preserve">Liability of Third Parties</w:t>
      </w:r>
    </w:p>
    <w:p w:rsidR="00000000" w:rsidDel="00000000" w:rsidP="00000000" w:rsidRDefault="00000000" w:rsidRPr="00000000">
      <w:pPr>
        <w:ind w:firstLine="720"/>
        <w:contextualSpacing w:val="0"/>
      </w:pPr>
      <w:r w:rsidDel="00000000" w:rsidR="00000000" w:rsidRPr="00000000">
        <w:rPr>
          <w:color w:val="222222"/>
          <w:highlight w:val="white"/>
          <w:rtl w:val="0"/>
        </w:rPr>
        <w:t xml:space="preserve">Godfrey v Demon Internet (1999)</w:t>
      </w:r>
    </w:p>
    <w:p w:rsidR="00000000" w:rsidDel="00000000" w:rsidP="00000000" w:rsidRDefault="00000000" w:rsidRPr="00000000">
      <w:pPr>
        <w:ind w:firstLine="720"/>
        <w:contextualSpacing w:val="0"/>
      </w:pPr>
      <w:r w:rsidDel="00000000" w:rsidR="00000000" w:rsidRPr="00000000">
        <w:rPr>
          <w:color w:val="222222"/>
          <w:highlight w:val="white"/>
          <w:rtl w:val="0"/>
        </w:rPr>
        <w:t xml:space="preserve">Metropolitan International Schools (2010)</w:t>
      </w:r>
    </w:p>
    <w:p w:rsidR="00000000" w:rsidDel="00000000" w:rsidP="00000000" w:rsidRDefault="00000000" w:rsidRPr="00000000">
      <w:pPr>
        <w:contextualSpacing w:val="0"/>
      </w:pPr>
      <w:r w:rsidDel="00000000" w:rsidR="00000000" w:rsidRPr="00000000">
        <w:rPr>
          <w:b w:val="1"/>
          <w:color w:val="222222"/>
          <w:highlight w:val="white"/>
          <w:rtl w:val="0"/>
        </w:rPr>
        <w:t xml:space="preserve">Social Media</w:t>
      </w:r>
    </w:p>
    <w:p w:rsidR="00000000" w:rsidDel="00000000" w:rsidP="00000000" w:rsidRDefault="00000000" w:rsidRPr="00000000">
      <w:pPr>
        <w:ind w:firstLine="720"/>
        <w:contextualSpacing w:val="0"/>
      </w:pPr>
      <w:r w:rsidDel="00000000" w:rsidR="00000000" w:rsidRPr="00000000">
        <w:rPr>
          <w:color w:val="222222"/>
          <w:highlight w:val="white"/>
          <w:rtl w:val="0"/>
        </w:rPr>
        <w:t xml:space="preserve">Twitter Cases –</w:t>
      </w:r>
      <w:hyperlink r:id="rId5">
        <w:r w:rsidDel="00000000" w:rsidR="00000000" w:rsidRPr="00000000">
          <w:rPr>
            <w:color w:val="222222"/>
            <w:highlight w:val="white"/>
            <w:rtl w:val="0"/>
          </w:rPr>
          <w:t xml:space="preserve"> </w:t>
        </w:r>
      </w:hyperlink>
      <w:hyperlink r:id="rId6">
        <w:r w:rsidDel="00000000" w:rsidR="00000000" w:rsidRPr="00000000">
          <w:rPr>
            <w:color w:val="1155cc"/>
            <w:highlight w:val="white"/>
            <w:u w:val="single"/>
            <w:rtl w:val="0"/>
          </w:rPr>
          <w:t xml:space="preserve">Ireland</w:t>
        </w:r>
      </w:hyperlink>
      <w:r w:rsidDel="00000000" w:rsidR="00000000" w:rsidRPr="00000000">
        <w:rPr>
          <w:color w:val="222222"/>
          <w:highlight w:val="white"/>
          <w:rtl w:val="0"/>
        </w:rPr>
        <w:t xml:space="preserve"> and</w:t>
      </w:r>
      <w:hyperlink r:id="rId7">
        <w:r w:rsidDel="00000000" w:rsidR="00000000" w:rsidRPr="00000000">
          <w:rPr>
            <w:color w:val="222222"/>
            <w:highlight w:val="white"/>
            <w:rtl w:val="0"/>
          </w:rPr>
          <w:t xml:space="preserve"> </w:t>
        </w:r>
      </w:hyperlink>
      <w:hyperlink r:id="rId8">
        <w:r w:rsidDel="00000000" w:rsidR="00000000" w:rsidRPr="00000000">
          <w:rPr>
            <w:color w:val="1155cc"/>
            <w:highlight w:val="white"/>
            <w:u w:val="single"/>
            <w:rtl w:val="0"/>
          </w:rPr>
          <w:t xml:space="preserve">UK</w:t>
        </w:r>
      </w:hyperlink>
    </w:p>
    <w:p w:rsidR="00000000" w:rsidDel="00000000" w:rsidP="00000000" w:rsidRDefault="00000000" w:rsidRPr="00000000">
      <w:pPr>
        <w:ind w:firstLine="720"/>
        <w:contextualSpacing w:val="0"/>
      </w:pPr>
      <w:r w:rsidDel="00000000" w:rsidR="00000000" w:rsidRPr="00000000">
        <w:rPr>
          <w:color w:val="222222"/>
          <w:highlight w:val="white"/>
          <w:rtl w:val="0"/>
        </w:rPr>
        <w:t xml:space="preserve">Discovery </w:t>
      </w:r>
    </w:p>
    <w:p w:rsidR="00000000" w:rsidDel="00000000" w:rsidP="00000000" w:rsidRDefault="00000000" w:rsidRPr="00000000">
      <w:pPr>
        <w:ind w:left="720" w:firstLine="0"/>
        <w:contextualSpacing w:val="0"/>
      </w:pPr>
      <w:r w:rsidDel="00000000" w:rsidR="00000000" w:rsidRPr="00000000">
        <w:rPr>
          <w:color w:val="222222"/>
          <w:highlight w:val="white"/>
          <w:rtl w:val="0"/>
        </w:rPr>
        <w:t xml:space="preserve">Norwich Pharmcal Case (1974)</w:t>
      </w:r>
    </w:p>
    <w:p w:rsidR="00000000" w:rsidDel="00000000" w:rsidP="00000000" w:rsidRDefault="00000000" w:rsidRPr="00000000">
      <w:pPr>
        <w:ind w:left="720" w:firstLine="0"/>
        <w:contextualSpacing w:val="0"/>
      </w:pPr>
      <w:r w:rsidDel="00000000" w:rsidR="00000000" w:rsidRPr="00000000">
        <w:rPr>
          <w:color w:val="222222"/>
          <w:highlight w:val="white"/>
          <w:rtl w:val="0"/>
        </w:rPr>
        <w:t xml:space="preserve">EMI v Eircom (2005)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kmfv30ax7irc" w:id="7"/>
      <w:bookmarkEnd w:id="7"/>
      <w:r w:rsidDel="00000000" w:rsidR="00000000" w:rsidRPr="00000000">
        <w:rPr>
          <w:rtl w:val="0"/>
        </w:rPr>
        <w:t xml:space="preserve">Privacy</w:t>
      </w:r>
    </w:p>
    <w:p w:rsidR="00000000" w:rsidDel="00000000" w:rsidP="00000000" w:rsidRDefault="00000000" w:rsidRPr="00000000">
      <w:pPr>
        <w:ind w:left="720" w:firstLine="0"/>
        <w:contextualSpacing w:val="0"/>
      </w:pPr>
      <w:r w:rsidDel="00000000" w:rsidR="00000000" w:rsidRPr="00000000">
        <w:rPr>
          <w:rtl w:val="0"/>
        </w:rPr>
        <w:t xml:space="preserve">Privacy is not an unlimited right</w:t>
      </w:r>
    </w:p>
    <w:p w:rsidR="00000000" w:rsidDel="00000000" w:rsidP="00000000" w:rsidRDefault="00000000" w:rsidRPr="00000000">
      <w:pPr>
        <w:ind w:left="720" w:firstLine="0"/>
        <w:contextualSpacing w:val="0"/>
      </w:pPr>
      <w:r w:rsidDel="00000000" w:rsidR="00000000" w:rsidRPr="00000000">
        <w:rPr>
          <w:rtl w:val="0"/>
        </w:rPr>
        <w:t xml:space="preserve">Technology poses particular challenge to privacy</w:t>
      </w:r>
    </w:p>
    <w:p w:rsidR="00000000" w:rsidDel="00000000" w:rsidP="00000000" w:rsidRDefault="00000000" w:rsidRPr="00000000">
      <w:pPr>
        <w:ind w:left="720" w:firstLine="0"/>
        <w:contextualSpacing w:val="0"/>
      </w:pPr>
      <w:r w:rsidDel="00000000" w:rsidR="00000000" w:rsidRPr="00000000">
        <w:rPr>
          <w:rtl w:val="0"/>
        </w:rPr>
        <w:t xml:space="preserve">“Vast amounts of information about everyone are stored on computers, capable of transmission anywhere in the world and accessible at the touch of a keyboard” Lord Hoffman in R v Brown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eqtvu24sk7gy" w:id="8"/>
      <w:bookmarkEnd w:id="8"/>
      <w:r w:rsidDel="00000000" w:rsidR="00000000" w:rsidRPr="00000000">
        <w:rPr>
          <w:rtl w:val="0"/>
        </w:rPr>
        <w:t xml:space="preserve">Sources of Privacy Rights</w:t>
      </w:r>
    </w:p>
    <w:p w:rsidR="00000000" w:rsidDel="00000000" w:rsidP="00000000" w:rsidRDefault="00000000" w:rsidRPr="00000000">
      <w:pPr>
        <w:numPr>
          <w:ilvl w:val="0"/>
          <w:numId w:val="11"/>
        </w:numPr>
        <w:ind w:left="720" w:hanging="360"/>
        <w:contextualSpacing w:val="1"/>
        <w:rPr>
          <w:color w:val="222222"/>
          <w:highlight w:val="white"/>
          <w:u w:val="none"/>
        </w:rPr>
      </w:pPr>
      <w:r w:rsidDel="00000000" w:rsidR="00000000" w:rsidRPr="00000000">
        <w:rPr>
          <w:color w:val="222222"/>
          <w:highlight w:val="white"/>
          <w:rtl w:val="0"/>
        </w:rPr>
        <w:t xml:space="preserve">The Irish Constitution</w:t>
      </w:r>
    </w:p>
    <w:p w:rsidR="00000000" w:rsidDel="00000000" w:rsidP="00000000" w:rsidRDefault="00000000" w:rsidRPr="00000000">
      <w:pPr>
        <w:numPr>
          <w:ilvl w:val="0"/>
          <w:numId w:val="11"/>
        </w:numPr>
        <w:ind w:left="720" w:hanging="360"/>
        <w:contextualSpacing w:val="1"/>
        <w:rPr>
          <w:color w:val="222222"/>
          <w:highlight w:val="white"/>
          <w:u w:val="none"/>
        </w:rPr>
      </w:pPr>
      <w:r w:rsidDel="00000000" w:rsidR="00000000" w:rsidRPr="00000000">
        <w:rPr>
          <w:color w:val="222222"/>
          <w:highlight w:val="white"/>
          <w:rtl w:val="0"/>
        </w:rPr>
        <w:t xml:space="preserve">Kennedy and Arnold v Ireland (1987)</w:t>
      </w:r>
    </w:p>
    <w:p w:rsidR="00000000" w:rsidDel="00000000" w:rsidP="00000000" w:rsidRDefault="00000000" w:rsidRPr="00000000">
      <w:pPr>
        <w:numPr>
          <w:ilvl w:val="0"/>
          <w:numId w:val="11"/>
        </w:numPr>
        <w:ind w:left="720" w:hanging="360"/>
        <w:contextualSpacing w:val="1"/>
        <w:rPr>
          <w:color w:val="222222"/>
          <w:highlight w:val="white"/>
          <w:u w:val="none"/>
        </w:rPr>
      </w:pPr>
      <w:r w:rsidDel="00000000" w:rsidR="00000000" w:rsidRPr="00000000">
        <w:rPr>
          <w:color w:val="222222"/>
          <w:highlight w:val="white"/>
          <w:rtl w:val="0"/>
        </w:rPr>
        <w:t xml:space="preserve">“Though not specifically guaranteed by the Constitution, the right of privacy is one of the fundamental personal rights of the citizen which flow from the Christian and democratic nature of the state” (Hamilton)</w:t>
      </w:r>
    </w:p>
    <w:p w:rsidR="00000000" w:rsidDel="00000000" w:rsidP="00000000" w:rsidRDefault="00000000" w:rsidRPr="00000000">
      <w:pPr>
        <w:numPr>
          <w:ilvl w:val="0"/>
          <w:numId w:val="11"/>
        </w:numPr>
        <w:ind w:left="720" w:hanging="360"/>
        <w:contextualSpacing w:val="1"/>
        <w:rPr>
          <w:color w:val="222222"/>
          <w:highlight w:val="white"/>
          <w:u w:val="none"/>
        </w:rPr>
      </w:pPr>
      <w:r w:rsidDel="00000000" w:rsidR="00000000" w:rsidRPr="00000000">
        <w:rPr>
          <w:color w:val="222222"/>
          <w:highlight w:val="white"/>
          <w:rtl w:val="0"/>
        </w:rPr>
        <w:t xml:space="preserve">Not an absolute right  - must be balanced against needs of the common good</w:t>
      </w:r>
    </w:p>
    <w:p w:rsidR="00000000" w:rsidDel="00000000" w:rsidP="00000000" w:rsidRDefault="00000000" w:rsidRPr="00000000">
      <w:pPr>
        <w:numPr>
          <w:ilvl w:val="0"/>
          <w:numId w:val="11"/>
        </w:numPr>
        <w:ind w:left="720" w:hanging="360"/>
        <w:contextualSpacing w:val="1"/>
        <w:rPr>
          <w:color w:val="222222"/>
          <w:highlight w:val="white"/>
          <w:u w:val="none"/>
        </w:rPr>
      </w:pPr>
      <w:r w:rsidDel="00000000" w:rsidR="00000000" w:rsidRPr="00000000">
        <w:rPr>
          <w:color w:val="222222"/>
          <w:highlight w:val="white"/>
          <w:rtl w:val="0"/>
        </w:rPr>
        <w:t xml:space="preserve">EMI v UPC (2010)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Privacy</w:t>
      </w:r>
      <w:r w:rsidDel="00000000" w:rsidR="00000000" w:rsidRPr="00000000">
        <w:rPr>
          <w:rtl w:val="0"/>
        </w:rPr>
        <w:t xml:space="preserve"> </w:t>
      </w:r>
      <w:r w:rsidDel="00000000" w:rsidR="00000000" w:rsidRPr="00000000">
        <w:rPr>
          <w:color w:val="222222"/>
          <w:highlight w:val="white"/>
          <w:rtl w:val="0"/>
        </w:rPr>
        <w:t xml:space="preserve">a state in which one is not observed or disturbed by other people.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Definition of Privacy</w:t>
      </w:r>
    </w:p>
    <w:p w:rsidR="00000000" w:rsidDel="00000000" w:rsidP="00000000" w:rsidRDefault="00000000" w:rsidRPr="00000000">
      <w:pPr>
        <w:contextualSpacing w:val="0"/>
      </w:pPr>
      <w:r w:rsidDel="00000000" w:rsidR="00000000" w:rsidRPr="00000000">
        <w:rPr>
          <w:rtl w:val="0"/>
        </w:rPr>
        <w:t xml:space="preserve">The right to privacy is our right to keep a domain around us, which includes all those things that are part of us, such as our body, home, property, thoughts, feelings, secrets and identity. The right to privacy gives us the ability to choose which parts in this domain can be accessed by others, and to control the extent, manner and timing of the use of those parts we choose to disclose.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highlight w:val="white"/>
          <w:rtl w:val="0"/>
        </w:rPr>
        <w:t xml:space="preserve">Privacy as a Common Law Right</w:t>
      </w:r>
    </w:p>
    <w:p w:rsidR="00000000" w:rsidDel="00000000" w:rsidP="00000000" w:rsidRDefault="00000000" w:rsidRPr="00000000">
      <w:pPr>
        <w:contextualSpacing w:val="0"/>
      </w:pPr>
      <w:r w:rsidDel="00000000" w:rsidR="00000000" w:rsidRPr="00000000">
        <w:rPr>
          <w:color w:val="222222"/>
          <w:highlight w:val="white"/>
          <w:rtl w:val="0"/>
        </w:rPr>
        <w:t xml:space="preserve">Campbell v MGN (2004)</w:t>
      </w:r>
    </w:p>
    <w:p w:rsidR="00000000" w:rsidDel="00000000" w:rsidP="00000000" w:rsidRDefault="00000000" w:rsidRPr="00000000">
      <w:pPr>
        <w:contextualSpacing w:val="0"/>
      </w:pPr>
      <w:r w:rsidDel="00000000" w:rsidR="00000000" w:rsidRPr="00000000">
        <w:rPr>
          <w:color w:val="222222"/>
          <w:highlight w:val="white"/>
          <w:rtl w:val="0"/>
        </w:rPr>
        <w:t xml:space="preserve">No general tort of ‘invasion of privacy’</w:t>
      </w:r>
    </w:p>
    <w:p w:rsidR="00000000" w:rsidDel="00000000" w:rsidP="00000000" w:rsidRDefault="00000000" w:rsidRPr="00000000">
      <w:pPr>
        <w:contextualSpacing w:val="0"/>
      </w:pPr>
      <w:r w:rsidDel="00000000" w:rsidR="00000000" w:rsidRPr="00000000">
        <w:rPr>
          <w:color w:val="222222"/>
          <w:highlight w:val="white"/>
          <w:rtl w:val="0"/>
        </w:rPr>
        <w:t xml:space="preserve">Could however form basis for an action in ‘Breach of Confidence’</w:t>
      </w:r>
    </w:p>
    <w:p w:rsidR="00000000" w:rsidDel="00000000" w:rsidP="00000000" w:rsidRDefault="00000000" w:rsidRPr="00000000">
      <w:pPr>
        <w:contextualSpacing w:val="0"/>
      </w:pPr>
      <w:r w:rsidDel="00000000" w:rsidR="00000000" w:rsidRPr="00000000">
        <w:rPr>
          <w:color w:val="222222"/>
          <w:highlight w:val="white"/>
          <w:rtl w:val="0"/>
        </w:rPr>
        <w:t xml:space="preserve">There is a right to control the dissemination of private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highlight w:val="white"/>
          <w:rtl w:val="0"/>
        </w:rPr>
        <w:t xml:space="preserve">Statutory Rights to Privacy</w:t>
      </w:r>
    </w:p>
    <w:p w:rsidR="00000000" w:rsidDel="00000000" w:rsidP="00000000" w:rsidRDefault="00000000" w:rsidRPr="00000000">
      <w:pPr>
        <w:contextualSpacing w:val="0"/>
      </w:pPr>
      <w:r w:rsidDel="00000000" w:rsidR="00000000" w:rsidRPr="00000000">
        <w:rPr>
          <w:color w:val="222222"/>
          <w:highlight w:val="white"/>
          <w:rtl w:val="0"/>
        </w:rPr>
        <w:t xml:space="preserve">Limited Rights – no general right to privacy in legislation</w:t>
      </w:r>
    </w:p>
    <w:p w:rsidR="00000000" w:rsidDel="00000000" w:rsidP="00000000" w:rsidRDefault="00000000" w:rsidRPr="00000000">
      <w:pPr>
        <w:contextualSpacing w:val="0"/>
      </w:pPr>
      <w:r w:rsidDel="00000000" w:rsidR="00000000" w:rsidRPr="00000000">
        <w:rPr>
          <w:color w:val="222222"/>
          <w:highlight w:val="white"/>
          <w:rtl w:val="0"/>
        </w:rPr>
        <w:t xml:space="preserve">Photos or film for private use </w:t>
      </w:r>
    </w:p>
    <w:p w:rsidR="00000000" w:rsidDel="00000000" w:rsidP="00000000" w:rsidRDefault="00000000" w:rsidRPr="00000000">
      <w:pPr>
        <w:contextualSpacing w:val="0"/>
      </w:pPr>
      <w:r w:rsidDel="00000000" w:rsidR="00000000" w:rsidRPr="00000000">
        <w:rPr>
          <w:color w:val="222222"/>
          <w:highlight w:val="white"/>
          <w:rtl w:val="0"/>
        </w:rPr>
        <w:t xml:space="preserve">Right not to have the work or copies made available to the public</w:t>
      </w:r>
    </w:p>
    <w:p w:rsidR="00000000" w:rsidDel="00000000" w:rsidP="00000000" w:rsidRDefault="00000000" w:rsidRPr="00000000">
      <w:pPr>
        <w:contextualSpacing w:val="0"/>
      </w:pPr>
      <w:r w:rsidDel="00000000" w:rsidR="00000000" w:rsidRPr="00000000">
        <w:rPr>
          <w:color w:val="222222"/>
          <w:highlight w:val="white"/>
          <w:rtl w:val="0"/>
        </w:rPr>
        <w:t xml:space="preserve">In Ireland the Right to Privacy is protected through the Constitution and the ECHR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highlight w:val="white"/>
          <w:rtl w:val="0"/>
        </w:rPr>
        <w:t xml:space="preserve">Privacy in a Public Place</w:t>
      </w:r>
    </w:p>
    <w:p w:rsidR="00000000" w:rsidDel="00000000" w:rsidP="00000000" w:rsidRDefault="00000000" w:rsidRPr="00000000">
      <w:pPr>
        <w:contextualSpacing w:val="0"/>
      </w:pPr>
      <w:r w:rsidDel="00000000" w:rsidR="00000000" w:rsidRPr="00000000">
        <w:rPr>
          <w:color w:val="222222"/>
          <w:highlight w:val="white"/>
          <w:rtl w:val="0"/>
        </w:rPr>
        <w:t xml:space="preserve">An individual can still have a right to privacy in a public place</w:t>
      </w:r>
    </w:p>
    <w:p w:rsidR="00000000" w:rsidDel="00000000" w:rsidP="00000000" w:rsidRDefault="00000000" w:rsidRPr="00000000">
      <w:pPr>
        <w:contextualSpacing w:val="0"/>
      </w:pPr>
      <w:r w:rsidDel="00000000" w:rsidR="00000000" w:rsidRPr="00000000">
        <w:rPr>
          <w:color w:val="222222"/>
          <w:highlight w:val="white"/>
          <w:rtl w:val="0"/>
        </w:rPr>
        <w:t xml:space="preserve">Kane v Governor of Mountjoy (1988)</w:t>
      </w:r>
    </w:p>
    <w:p w:rsidR="00000000" w:rsidDel="00000000" w:rsidP="00000000" w:rsidRDefault="00000000" w:rsidRPr="00000000">
      <w:pPr>
        <w:contextualSpacing w:val="0"/>
      </w:pPr>
      <w:r w:rsidDel="00000000" w:rsidR="00000000" w:rsidRPr="00000000">
        <w:rPr>
          <w:color w:val="222222"/>
          <w:highlight w:val="white"/>
          <w:rtl w:val="0"/>
        </w:rPr>
        <w:t xml:space="preserve">Von Hannover v Germany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highlight w:val="white"/>
          <w:rtl w:val="0"/>
        </w:rPr>
        <w:t xml:space="preserve">Social Media</w:t>
      </w:r>
    </w:p>
    <w:p w:rsidR="00000000" w:rsidDel="00000000" w:rsidP="00000000" w:rsidRDefault="00000000" w:rsidRPr="00000000">
      <w:pPr>
        <w:contextualSpacing w:val="0"/>
      </w:pPr>
      <w:r w:rsidDel="00000000" w:rsidR="00000000" w:rsidRPr="00000000">
        <w:rPr>
          <w:color w:val="222222"/>
          <w:highlight w:val="white"/>
          <w:rtl w:val="0"/>
        </w:rPr>
        <w:t xml:space="preserve">Privacy dependent on restrictions user places on their information</w:t>
      </w:r>
    </w:p>
    <w:p w:rsidR="00000000" w:rsidDel="00000000" w:rsidP="00000000" w:rsidRDefault="00000000" w:rsidRPr="00000000">
      <w:pPr>
        <w:contextualSpacing w:val="0"/>
      </w:pPr>
      <w:r w:rsidDel="00000000" w:rsidR="00000000" w:rsidRPr="00000000">
        <w:rPr>
          <w:color w:val="222222"/>
          <w:highlight w:val="white"/>
          <w:rtl w:val="0"/>
        </w:rPr>
        <w:t xml:space="preserve">Restrictions can be avoided</w:t>
      </w:r>
    </w:p>
    <w:p w:rsidR="00000000" w:rsidDel="00000000" w:rsidP="00000000" w:rsidRDefault="00000000" w:rsidRPr="00000000">
      <w:pPr>
        <w:contextualSpacing w:val="0"/>
      </w:pPr>
      <w:r w:rsidDel="00000000" w:rsidR="00000000" w:rsidRPr="00000000">
        <w:rPr>
          <w:color w:val="222222"/>
          <w:highlight w:val="white"/>
          <w:rtl w:val="0"/>
        </w:rPr>
        <w:t xml:space="preserve">Fogarty and O’Connor v IBM (2000)</w:t>
      </w:r>
    </w:p>
    <w:p w:rsidR="00000000" w:rsidDel="00000000" w:rsidP="00000000" w:rsidRDefault="00000000" w:rsidRPr="00000000">
      <w:pPr>
        <w:contextualSpacing w:val="0"/>
      </w:pPr>
      <w:r w:rsidDel="00000000" w:rsidR="00000000" w:rsidRPr="00000000">
        <w:rPr>
          <w:color w:val="222222"/>
          <w:highlight w:val="white"/>
          <w:rtl w:val="0"/>
        </w:rPr>
        <w:t xml:space="preserve">Equality Acts 1998 – 2000</w:t>
      </w:r>
    </w:p>
    <w:p w:rsidR="00000000" w:rsidDel="00000000" w:rsidP="00000000" w:rsidRDefault="00000000" w:rsidRPr="00000000">
      <w:pPr>
        <w:contextualSpacing w:val="0"/>
      </w:pPr>
      <w:r w:rsidDel="00000000" w:rsidR="00000000" w:rsidRPr="00000000">
        <w:rPr>
          <w:color w:val="222222"/>
          <w:highlight w:val="white"/>
          <w:rtl w:val="0"/>
        </w:rPr>
        <w:t xml:space="preserve">Data Protection Acts 1988 - 2003</w:t>
      </w:r>
    </w:p>
    <w:p w:rsidR="00000000" w:rsidDel="00000000" w:rsidP="00000000" w:rsidRDefault="00000000" w:rsidRPr="00000000">
      <w:pPr>
        <w:contextualSpacing w:val="0"/>
      </w:pPr>
      <w:r w:rsidDel="00000000" w:rsidR="00000000" w:rsidRPr="00000000">
        <w:rPr>
          <w:color w:val="222222"/>
          <w:highlight w:val="white"/>
          <w:rtl w:val="0"/>
        </w:rPr>
        <w:t xml:space="preserve">Bodil Lindqvist v Sweden (2003)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highlight w:val="white"/>
          <w:rtl w:val="0"/>
        </w:rPr>
        <w:t xml:space="preserve">Search Engines</w:t>
      </w:r>
    </w:p>
    <w:p w:rsidR="00000000" w:rsidDel="00000000" w:rsidP="00000000" w:rsidRDefault="00000000" w:rsidRPr="00000000">
      <w:pPr>
        <w:contextualSpacing w:val="0"/>
      </w:pPr>
      <w:r w:rsidDel="00000000" w:rsidR="00000000" w:rsidRPr="00000000">
        <w:rPr>
          <w:color w:val="222222"/>
          <w:highlight w:val="white"/>
          <w:rtl w:val="0"/>
        </w:rPr>
        <w:t xml:space="preserve">Data Protection Acts 1988 – 2003</w:t>
      </w:r>
    </w:p>
    <w:p w:rsidR="00000000" w:rsidDel="00000000" w:rsidP="00000000" w:rsidRDefault="00000000" w:rsidRPr="00000000">
      <w:pPr>
        <w:contextualSpacing w:val="0"/>
      </w:pPr>
      <w:r w:rsidDel="00000000" w:rsidR="00000000" w:rsidRPr="00000000">
        <w:rPr>
          <w:color w:val="222222"/>
          <w:highlight w:val="white"/>
          <w:rtl w:val="0"/>
        </w:rPr>
        <w:t xml:space="preserve">Liability of ISP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highlight w:val="white"/>
          <w:rtl w:val="0"/>
        </w:rPr>
        <w:t xml:space="preserve">YouTube</w:t>
      </w:r>
    </w:p>
    <w:p w:rsidR="00000000" w:rsidDel="00000000" w:rsidP="00000000" w:rsidRDefault="00000000" w:rsidRPr="00000000">
      <w:pPr>
        <w:contextualSpacing w:val="0"/>
      </w:pPr>
      <w:r w:rsidDel="00000000" w:rsidR="00000000" w:rsidRPr="00000000">
        <w:rPr>
          <w:color w:val="222222"/>
          <w:highlight w:val="white"/>
          <w:rtl w:val="0"/>
        </w:rPr>
        <w:t xml:space="preserve">Breach of Privacy Rights</w:t>
      </w:r>
    </w:p>
    <w:p w:rsidR="00000000" w:rsidDel="00000000" w:rsidP="00000000" w:rsidRDefault="00000000" w:rsidRPr="00000000">
      <w:pPr>
        <w:contextualSpacing w:val="0"/>
      </w:pPr>
      <w:r w:rsidDel="00000000" w:rsidR="00000000" w:rsidRPr="00000000">
        <w:rPr>
          <w:color w:val="222222"/>
          <w:highlight w:val="white"/>
          <w:rtl w:val="0"/>
        </w:rPr>
        <w:t xml:space="preserve">Data Protection Acts 1988 – 2003</w:t>
      </w:r>
    </w:p>
    <w:p w:rsidR="00000000" w:rsidDel="00000000" w:rsidP="00000000" w:rsidRDefault="00000000" w:rsidRPr="00000000">
      <w:pPr>
        <w:contextualSpacing w:val="0"/>
      </w:pPr>
      <w:r w:rsidDel="00000000" w:rsidR="00000000" w:rsidRPr="00000000">
        <w:rPr>
          <w:color w:val="222222"/>
          <w:highlight w:val="white"/>
          <w:rtl w:val="0"/>
        </w:rPr>
        <w:t xml:space="preserve">Peck v UK (2003)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highlight w:val="white"/>
          <w:rtl w:val="0"/>
        </w:rPr>
        <w:t xml:space="preserve">The action for Breach of Confidence – Essential Elements</w:t>
      </w:r>
    </w:p>
    <w:p w:rsidR="00000000" w:rsidDel="00000000" w:rsidP="00000000" w:rsidRDefault="00000000" w:rsidRPr="00000000">
      <w:pPr>
        <w:numPr>
          <w:ilvl w:val="0"/>
          <w:numId w:val="3"/>
        </w:numPr>
        <w:ind w:left="720" w:hanging="360"/>
        <w:contextualSpacing w:val="1"/>
        <w:rPr>
          <w:color w:val="222222"/>
          <w:highlight w:val="white"/>
          <w:u w:val="none"/>
        </w:rPr>
      </w:pPr>
      <w:r w:rsidDel="00000000" w:rsidR="00000000" w:rsidRPr="00000000">
        <w:rPr>
          <w:color w:val="222222"/>
          <w:highlight w:val="white"/>
          <w:rtl w:val="0"/>
        </w:rPr>
        <w:t xml:space="preserve">The information in question must be confidential</w:t>
      </w:r>
    </w:p>
    <w:p w:rsidR="00000000" w:rsidDel="00000000" w:rsidP="00000000" w:rsidRDefault="00000000" w:rsidRPr="00000000">
      <w:pPr>
        <w:numPr>
          <w:ilvl w:val="0"/>
          <w:numId w:val="3"/>
        </w:numPr>
        <w:ind w:left="720" w:hanging="360"/>
        <w:contextualSpacing w:val="1"/>
        <w:rPr>
          <w:color w:val="222222"/>
          <w:highlight w:val="white"/>
          <w:u w:val="none"/>
        </w:rPr>
      </w:pPr>
      <w:r w:rsidDel="00000000" w:rsidR="00000000" w:rsidRPr="00000000">
        <w:rPr>
          <w:color w:val="222222"/>
          <w:highlight w:val="white"/>
          <w:rtl w:val="0"/>
        </w:rPr>
        <w:t xml:space="preserve">The must have been communicated in circumstances which impose an obligation of confidence on the recipient</w:t>
      </w:r>
    </w:p>
    <w:p w:rsidR="00000000" w:rsidDel="00000000" w:rsidP="00000000" w:rsidRDefault="00000000" w:rsidRPr="00000000">
      <w:pPr>
        <w:numPr>
          <w:ilvl w:val="0"/>
          <w:numId w:val="3"/>
        </w:numPr>
        <w:ind w:left="720" w:hanging="360"/>
        <w:contextualSpacing w:val="1"/>
        <w:rPr>
          <w:color w:val="222222"/>
          <w:highlight w:val="white"/>
          <w:u w:val="none"/>
        </w:rPr>
      </w:pPr>
      <w:r w:rsidDel="00000000" w:rsidR="00000000" w:rsidRPr="00000000">
        <w:rPr>
          <w:color w:val="222222"/>
          <w:highlight w:val="white"/>
          <w:rtl w:val="0"/>
        </w:rPr>
        <w:t xml:space="preserve">The information has been used in a manner not intended by the owner and not authorised by him</w:t>
      </w:r>
    </w:p>
    <w:p w:rsidR="00000000" w:rsidDel="00000000" w:rsidP="00000000" w:rsidRDefault="00000000" w:rsidRPr="00000000">
      <w:pPr>
        <w:numPr>
          <w:ilvl w:val="0"/>
          <w:numId w:val="3"/>
        </w:numPr>
        <w:ind w:left="720" w:hanging="360"/>
        <w:contextualSpacing w:val="1"/>
        <w:rPr>
          <w:color w:val="222222"/>
          <w:highlight w:val="white"/>
          <w:u w:val="none"/>
        </w:rPr>
      </w:pPr>
      <w:r w:rsidDel="00000000" w:rsidR="00000000" w:rsidRPr="00000000">
        <w:rPr>
          <w:color w:val="222222"/>
          <w:highlight w:val="white"/>
          <w:rtl w:val="0"/>
        </w:rPr>
        <w:t xml:space="preserve">Commercial information can be of significant value</w:t>
      </w:r>
    </w:p>
    <w:p w:rsidR="00000000" w:rsidDel="00000000" w:rsidP="00000000" w:rsidRDefault="00000000" w:rsidRPr="00000000">
      <w:pPr>
        <w:numPr>
          <w:ilvl w:val="0"/>
          <w:numId w:val="3"/>
        </w:numPr>
        <w:ind w:left="720" w:hanging="360"/>
        <w:contextualSpacing w:val="1"/>
        <w:rPr>
          <w:color w:val="222222"/>
          <w:highlight w:val="white"/>
          <w:u w:val="none"/>
        </w:rPr>
      </w:pPr>
      <w:r w:rsidDel="00000000" w:rsidR="00000000" w:rsidRPr="00000000">
        <w:rPr>
          <w:color w:val="222222"/>
          <w:highlight w:val="white"/>
          <w:rtl w:val="0"/>
        </w:rPr>
        <w:t xml:space="preserve">Disclose of information can reduce its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highlight w:val="white"/>
          <w:rtl w:val="0"/>
        </w:rPr>
        <w:t xml:space="preserve">Categories of Information</w:t>
      </w:r>
    </w:p>
    <w:p w:rsidR="00000000" w:rsidDel="00000000" w:rsidP="00000000" w:rsidRDefault="00000000" w:rsidRPr="00000000">
      <w:pPr>
        <w:numPr>
          <w:ilvl w:val="0"/>
          <w:numId w:val="7"/>
        </w:numPr>
        <w:ind w:left="720" w:hanging="360"/>
        <w:contextualSpacing w:val="1"/>
        <w:rPr>
          <w:color w:val="222222"/>
          <w:highlight w:val="white"/>
          <w:u w:val="none"/>
        </w:rPr>
      </w:pPr>
      <w:r w:rsidDel="00000000" w:rsidR="00000000" w:rsidRPr="00000000">
        <w:rPr>
          <w:color w:val="222222"/>
          <w:highlight w:val="white"/>
          <w:rtl w:val="0"/>
        </w:rPr>
        <w:t xml:space="preserve">Trivial or public information</w:t>
      </w:r>
    </w:p>
    <w:p w:rsidR="00000000" w:rsidDel="00000000" w:rsidP="00000000" w:rsidRDefault="00000000" w:rsidRPr="00000000">
      <w:pPr>
        <w:numPr>
          <w:ilvl w:val="0"/>
          <w:numId w:val="7"/>
        </w:numPr>
        <w:ind w:left="720" w:hanging="360"/>
        <w:contextualSpacing w:val="1"/>
        <w:rPr>
          <w:color w:val="222222"/>
          <w:highlight w:val="white"/>
          <w:u w:val="none"/>
        </w:rPr>
      </w:pPr>
      <w:r w:rsidDel="00000000" w:rsidR="00000000" w:rsidRPr="00000000">
        <w:rPr>
          <w:color w:val="222222"/>
          <w:highlight w:val="white"/>
          <w:rtl w:val="0"/>
        </w:rPr>
        <w:t xml:space="preserve">Skill and experience</w:t>
      </w:r>
    </w:p>
    <w:p w:rsidR="00000000" w:rsidDel="00000000" w:rsidP="00000000" w:rsidRDefault="00000000" w:rsidRPr="00000000">
      <w:pPr>
        <w:numPr>
          <w:ilvl w:val="0"/>
          <w:numId w:val="7"/>
        </w:numPr>
        <w:ind w:left="720" w:hanging="360"/>
        <w:contextualSpacing w:val="1"/>
        <w:rPr>
          <w:color w:val="222222"/>
          <w:highlight w:val="white"/>
          <w:u w:val="none"/>
        </w:rPr>
      </w:pPr>
      <w:r w:rsidDel="00000000" w:rsidR="00000000" w:rsidRPr="00000000">
        <w:rPr>
          <w:color w:val="222222"/>
          <w:highlight w:val="white"/>
          <w:rtl w:val="0"/>
        </w:rPr>
        <w:t xml:space="preserve">Trade secrets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highlight w:val="white"/>
          <w:rtl w:val="0"/>
        </w:rPr>
        <w:t xml:space="preserve">Employment Cases</w:t>
      </w:r>
    </w:p>
    <w:p w:rsidR="00000000" w:rsidDel="00000000" w:rsidP="00000000" w:rsidRDefault="00000000" w:rsidRPr="00000000">
      <w:pPr>
        <w:numPr>
          <w:ilvl w:val="0"/>
          <w:numId w:val="4"/>
        </w:numPr>
        <w:ind w:left="720" w:hanging="360"/>
        <w:contextualSpacing w:val="1"/>
        <w:rPr>
          <w:color w:val="222222"/>
          <w:highlight w:val="white"/>
          <w:u w:val="none"/>
        </w:rPr>
      </w:pPr>
      <w:r w:rsidDel="00000000" w:rsidR="00000000" w:rsidRPr="00000000">
        <w:rPr>
          <w:color w:val="222222"/>
          <w:highlight w:val="white"/>
          <w:rtl w:val="0"/>
        </w:rPr>
        <w:t xml:space="preserve">Meadox Medical (1981)</w:t>
      </w:r>
    </w:p>
    <w:p w:rsidR="00000000" w:rsidDel="00000000" w:rsidP="00000000" w:rsidRDefault="00000000" w:rsidRPr="00000000">
      <w:pPr>
        <w:numPr>
          <w:ilvl w:val="0"/>
          <w:numId w:val="4"/>
        </w:numPr>
        <w:ind w:left="720" w:hanging="360"/>
        <w:contextualSpacing w:val="1"/>
        <w:rPr>
          <w:color w:val="222222"/>
          <w:highlight w:val="white"/>
          <w:u w:val="none"/>
        </w:rPr>
      </w:pPr>
      <w:r w:rsidDel="00000000" w:rsidR="00000000" w:rsidRPr="00000000">
        <w:rPr>
          <w:color w:val="222222"/>
          <w:highlight w:val="white"/>
          <w:rtl w:val="0"/>
        </w:rPr>
        <w:t xml:space="preserve">Facenda Chicken (1986)</w:t>
      </w:r>
    </w:p>
    <w:p w:rsidR="00000000" w:rsidDel="00000000" w:rsidP="00000000" w:rsidRDefault="00000000" w:rsidRPr="00000000">
      <w:pPr>
        <w:numPr>
          <w:ilvl w:val="0"/>
          <w:numId w:val="4"/>
        </w:numPr>
        <w:ind w:left="720" w:hanging="360"/>
        <w:contextualSpacing w:val="1"/>
        <w:rPr>
          <w:color w:val="222222"/>
          <w:highlight w:val="white"/>
          <w:u w:val="none"/>
        </w:rPr>
      </w:pPr>
      <w:r w:rsidDel="00000000" w:rsidR="00000000" w:rsidRPr="00000000">
        <w:rPr>
          <w:color w:val="222222"/>
          <w:highlight w:val="white"/>
          <w:rtl w:val="0"/>
        </w:rPr>
        <w:t xml:space="preserve">Lawrence David v Ashton (1991)</w:t>
      </w:r>
    </w:p>
    <w:p w:rsidR="00000000" w:rsidDel="00000000" w:rsidP="00000000" w:rsidRDefault="00000000" w:rsidRPr="00000000">
      <w:pPr>
        <w:numPr>
          <w:ilvl w:val="0"/>
          <w:numId w:val="4"/>
        </w:numPr>
        <w:ind w:left="720" w:hanging="360"/>
        <w:contextualSpacing w:val="1"/>
        <w:rPr>
          <w:color w:val="222222"/>
          <w:highlight w:val="white"/>
          <w:u w:val="none"/>
        </w:rPr>
      </w:pPr>
      <w:r w:rsidDel="00000000" w:rsidR="00000000" w:rsidRPr="00000000">
        <w:rPr>
          <w:color w:val="222222"/>
          <w:highlight w:val="white"/>
          <w:rtl w:val="0"/>
        </w:rPr>
        <w:t xml:space="preserve">House of Spring v Point Blank (1985)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highlight w:val="white"/>
          <w:rtl w:val="0"/>
        </w:rPr>
        <w:t xml:space="preserve">Non Employment Cases</w:t>
      </w:r>
    </w:p>
    <w:p w:rsidR="00000000" w:rsidDel="00000000" w:rsidP="00000000" w:rsidRDefault="00000000" w:rsidRPr="00000000">
      <w:pPr>
        <w:numPr>
          <w:ilvl w:val="0"/>
          <w:numId w:val="8"/>
        </w:numPr>
        <w:ind w:left="720" w:hanging="360"/>
        <w:contextualSpacing w:val="1"/>
        <w:rPr>
          <w:color w:val="222222"/>
          <w:highlight w:val="white"/>
          <w:u w:val="none"/>
        </w:rPr>
      </w:pPr>
      <w:r w:rsidDel="00000000" w:rsidR="00000000" w:rsidRPr="00000000">
        <w:rPr>
          <w:color w:val="222222"/>
          <w:highlight w:val="white"/>
          <w:rtl w:val="0"/>
        </w:rPr>
        <w:t xml:space="preserve">Saltman v Campbell Engineering (1948)</w:t>
      </w:r>
    </w:p>
    <w:p w:rsidR="00000000" w:rsidDel="00000000" w:rsidP="00000000" w:rsidRDefault="00000000" w:rsidRPr="00000000">
      <w:pPr>
        <w:numPr>
          <w:ilvl w:val="0"/>
          <w:numId w:val="8"/>
        </w:numPr>
        <w:ind w:left="720" w:hanging="360"/>
        <w:contextualSpacing w:val="1"/>
        <w:rPr>
          <w:color w:val="222222"/>
          <w:highlight w:val="white"/>
          <w:u w:val="none"/>
        </w:rPr>
      </w:pPr>
      <w:r w:rsidDel="00000000" w:rsidR="00000000" w:rsidRPr="00000000">
        <w:rPr>
          <w:color w:val="222222"/>
          <w:highlight w:val="white"/>
          <w:rtl w:val="0"/>
        </w:rPr>
        <w:t xml:space="preserve">Terrapin v Builders Supply (1960)</w:t>
      </w:r>
    </w:p>
    <w:p w:rsidR="00000000" w:rsidDel="00000000" w:rsidP="00000000" w:rsidRDefault="00000000" w:rsidRPr="00000000">
      <w:pPr>
        <w:numPr>
          <w:ilvl w:val="0"/>
          <w:numId w:val="8"/>
        </w:numPr>
        <w:ind w:left="720" w:hanging="360"/>
        <w:contextualSpacing w:val="1"/>
        <w:rPr>
          <w:color w:val="222222"/>
          <w:highlight w:val="white"/>
          <w:u w:val="none"/>
        </w:rPr>
      </w:pPr>
      <w:r w:rsidDel="00000000" w:rsidR="00000000" w:rsidRPr="00000000">
        <w:rPr>
          <w:color w:val="222222"/>
          <w:highlight w:val="white"/>
          <w:rtl w:val="0"/>
        </w:rPr>
        <w:t xml:space="preserve">National Irish Bank v RTE (1998)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highlight w:val="white"/>
          <w:rtl w:val="0"/>
        </w:rPr>
        <w:t xml:space="preserve">Celebrities</w:t>
      </w:r>
    </w:p>
    <w:p w:rsidR="00000000" w:rsidDel="00000000" w:rsidP="00000000" w:rsidRDefault="00000000" w:rsidRPr="00000000">
      <w:pPr>
        <w:numPr>
          <w:ilvl w:val="0"/>
          <w:numId w:val="5"/>
        </w:numPr>
        <w:ind w:left="720" w:hanging="360"/>
        <w:contextualSpacing w:val="1"/>
        <w:rPr>
          <w:color w:val="222222"/>
          <w:highlight w:val="white"/>
          <w:u w:val="none"/>
        </w:rPr>
      </w:pPr>
      <w:r w:rsidDel="00000000" w:rsidR="00000000" w:rsidRPr="00000000">
        <w:rPr>
          <w:color w:val="222222"/>
          <w:highlight w:val="white"/>
          <w:rtl w:val="0"/>
        </w:rPr>
        <w:t xml:space="preserve">Campbell v MGM (2004)</w:t>
      </w:r>
    </w:p>
    <w:p w:rsidR="00000000" w:rsidDel="00000000" w:rsidP="00000000" w:rsidRDefault="00000000" w:rsidRPr="00000000">
      <w:pPr>
        <w:numPr>
          <w:ilvl w:val="0"/>
          <w:numId w:val="5"/>
        </w:numPr>
        <w:ind w:left="720" w:hanging="360"/>
        <w:contextualSpacing w:val="1"/>
        <w:rPr>
          <w:color w:val="222222"/>
          <w:highlight w:val="white"/>
          <w:u w:val="none"/>
        </w:rPr>
      </w:pPr>
      <w:r w:rsidDel="00000000" w:rsidR="00000000" w:rsidRPr="00000000">
        <w:rPr>
          <w:color w:val="222222"/>
          <w:highlight w:val="white"/>
          <w:rtl w:val="0"/>
        </w:rPr>
        <w:t xml:space="preserve">Von Hannover v Germany (2004)</w:t>
      </w:r>
    </w:p>
    <w:p w:rsidR="00000000" w:rsidDel="00000000" w:rsidP="00000000" w:rsidRDefault="00000000" w:rsidRPr="00000000">
      <w:pPr>
        <w:numPr>
          <w:ilvl w:val="0"/>
          <w:numId w:val="5"/>
        </w:numPr>
        <w:ind w:left="720" w:hanging="360"/>
        <w:contextualSpacing w:val="1"/>
        <w:rPr>
          <w:highlight w:val="white"/>
          <w:u w:val="none"/>
        </w:rPr>
      </w:pPr>
      <w:r w:rsidDel="00000000" w:rsidR="00000000" w:rsidRPr="00000000">
        <w:rPr>
          <w:color w:val="222222"/>
          <w:highlight w:val="white"/>
          <w:rtl w:val="0"/>
        </w:rPr>
        <w:t xml:space="preserve">Ryan Giggs –</w:t>
      </w:r>
      <w:hyperlink r:id="rId9">
        <w:r w:rsidDel="00000000" w:rsidR="00000000" w:rsidRPr="00000000">
          <w:rPr>
            <w:color w:val="222222"/>
            <w:highlight w:val="white"/>
            <w:rtl w:val="0"/>
          </w:rPr>
          <w:t xml:space="preserve"> </w:t>
        </w:r>
      </w:hyperlink>
      <w:hyperlink r:id="rId10">
        <w:r w:rsidDel="00000000" w:rsidR="00000000" w:rsidRPr="00000000">
          <w:rPr>
            <w:color w:val="1155cc"/>
            <w:highlight w:val="white"/>
            <w:u w:val="single"/>
            <w:rtl w:val="0"/>
          </w:rPr>
          <w:t xml:space="preserve">here</w:t>
        </w:r>
      </w:hyperlink>
    </w:p>
    <w:p w:rsidR="00000000" w:rsidDel="00000000" w:rsidP="00000000" w:rsidRDefault="00000000" w:rsidRPr="00000000">
      <w:pPr>
        <w:numPr>
          <w:ilvl w:val="0"/>
          <w:numId w:val="5"/>
        </w:numPr>
        <w:ind w:left="720" w:hanging="360"/>
        <w:contextualSpacing w:val="1"/>
        <w:rPr>
          <w:highlight w:val="white"/>
          <w:u w:val="none"/>
        </w:rPr>
      </w:pPr>
      <w:r w:rsidDel="00000000" w:rsidR="00000000" w:rsidRPr="00000000">
        <w:rPr>
          <w:color w:val="222222"/>
          <w:highlight w:val="white"/>
          <w:rtl w:val="0"/>
        </w:rPr>
        <w:t xml:space="preserve">A list of alleged super injunctions</w:t>
      </w:r>
      <w:hyperlink r:id="rId11">
        <w:r w:rsidDel="00000000" w:rsidR="00000000" w:rsidRPr="00000000">
          <w:rPr>
            <w:color w:val="222222"/>
            <w:highlight w:val="white"/>
            <w:rtl w:val="0"/>
          </w:rPr>
          <w:t xml:space="preserve"> </w:t>
        </w:r>
      </w:hyperlink>
      <w:hyperlink r:id="rId12">
        <w:r w:rsidDel="00000000" w:rsidR="00000000" w:rsidRPr="00000000">
          <w:rPr>
            <w:color w:val="1155cc"/>
            <w:highlight w:val="white"/>
            <w:u w:val="single"/>
            <w:rtl w:val="0"/>
          </w:rPr>
          <w:t xml:space="preserve">here</w:t>
        </w:r>
      </w:hyperlink>
    </w:p>
    <w:p w:rsidR="00000000" w:rsidDel="00000000" w:rsidP="00000000" w:rsidRDefault="00000000" w:rsidRPr="00000000">
      <w:pPr>
        <w:numPr>
          <w:ilvl w:val="0"/>
          <w:numId w:val="5"/>
        </w:numPr>
        <w:ind w:left="720" w:hanging="360"/>
        <w:contextualSpacing w:val="1"/>
        <w:rPr>
          <w:color w:val="222222"/>
          <w:highlight w:val="white"/>
          <w:u w:val="none"/>
        </w:rPr>
      </w:pPr>
      <w:r w:rsidDel="00000000" w:rsidR="00000000" w:rsidRPr="00000000">
        <w:rPr>
          <w:color w:val="222222"/>
          <w:highlight w:val="white"/>
          <w:rtl w:val="0"/>
        </w:rPr>
        <w:t xml:space="preserve">Clearly this area of law has undergone substantial development in the UK in comparison to Ireland</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www.maxfarquar.com/2011/05/complete-list-celebrity-super-injunctions/" TargetMode="External"/><Relationship Id="rId10" Type="http://schemas.openxmlformats.org/officeDocument/2006/relationships/hyperlink" Target="http://www.theguardian.com/media/2011/may/23/ryan-giggs-mp-injunction" TargetMode="External"/><Relationship Id="rId12" Type="http://schemas.openxmlformats.org/officeDocument/2006/relationships/hyperlink" Target="http://www.maxfarquar.com/2011/05/complete-list-celebrity-super-injunctions/" TargetMode="External"/><Relationship Id="rId9" Type="http://schemas.openxmlformats.org/officeDocument/2006/relationships/hyperlink" Target="http://www.theguardian.com/media/2011/may/23/ryan-giggs-mp-injunction" TargetMode="External"/><Relationship Id="rId5" Type="http://schemas.openxmlformats.org/officeDocument/2006/relationships/hyperlink" Target="http://www.independent.ie/irish-news/online-first-as-blogger-apologises-to-ganley-over-tweets-28955543.html" TargetMode="External"/><Relationship Id="rId6" Type="http://schemas.openxmlformats.org/officeDocument/2006/relationships/hyperlink" Target="http://www.independent.ie/irish-news/online-first-as-blogger-apologises-to-ganley-over-tweets-28955543.html" TargetMode="External"/><Relationship Id="rId7" Type="http://schemas.openxmlformats.org/officeDocument/2006/relationships/hyperlink" Target="http://www.bbc.com/news/world-22652083" TargetMode="External"/><Relationship Id="rId8" Type="http://schemas.openxmlformats.org/officeDocument/2006/relationships/hyperlink" Target="http://www.bbc.com/news/world-22652083" TargetMode="External"/></Relationships>
</file>