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413" w:rsidRPr="00B114CE" w:rsidRDefault="00E36413" w:rsidP="00E36413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92990734"/>
      <w:bookmarkEnd w:id="0"/>
      <w:r w:rsidRPr="00B114CE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114CE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Кафедра МОЭВМ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jc w:val="center"/>
        <w:rPr>
          <w:rStyle w:val="a4"/>
          <w:rFonts w:ascii="Times New Roman" w:hAnsi="Times New Roman" w:cs="Times New Roman"/>
          <w:caps/>
          <w:smallCaps w:val="0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caps/>
          <w:sz w:val="28"/>
          <w:szCs w:val="28"/>
        </w:rPr>
        <w:t>отчет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B114C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№2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14CE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Операционные системы</w:t>
      </w:r>
      <w:r w:rsidRPr="00B114CE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r w:rsidRPr="00B114CE">
        <w:rPr>
          <w:rStyle w:val="a4"/>
          <w:rFonts w:ascii="Times New Roman" w:hAnsi="Times New Roman" w:cs="Times New Roman"/>
          <w:sz w:val="28"/>
          <w:szCs w:val="28"/>
        </w:rPr>
        <w:t>Тема:</w:t>
      </w:r>
      <w:r>
        <w:rPr>
          <w:rStyle w:val="a4"/>
          <w:rFonts w:ascii="Times New Roman" w:hAnsi="Times New Roman" w:cs="Times New Roman"/>
          <w:sz w:val="28"/>
          <w:szCs w:val="28"/>
        </w:rPr>
        <w:t xml:space="preserve"> Исследование интерфейсов программных модулей</w:t>
      </w:r>
      <w:r w:rsidRPr="00B114CE">
        <w:rPr>
          <w:rFonts w:ascii="Times New Roman" w:hAnsi="Times New Roman" w:cs="Times New Roman"/>
          <w:b/>
          <w:bCs/>
          <w:spacing w:val="5"/>
          <w:sz w:val="28"/>
          <w:szCs w:val="28"/>
        </w:rPr>
        <w:t>.</w:t>
      </w: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Default="00E36413" w:rsidP="00E36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D31A9" w:rsidRPr="00B114CE" w:rsidRDefault="00AD31A9" w:rsidP="00E364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2788"/>
        <w:gridCol w:w="4054"/>
        <w:gridCol w:w="2513"/>
      </w:tblGrid>
      <w:tr w:rsidR="00E36413" w:rsidRPr="00B114CE" w:rsidTr="00DE4B76">
        <w:trPr>
          <w:trHeight w:val="614"/>
        </w:trPr>
        <w:tc>
          <w:tcPr>
            <w:tcW w:w="1490" w:type="pct"/>
            <w:vAlign w:val="bottom"/>
          </w:tcPr>
          <w:p w:rsidR="00E36413" w:rsidRPr="00B114CE" w:rsidRDefault="00E36413" w:rsidP="00DE4B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D31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6381</w:t>
            </w:r>
          </w:p>
        </w:tc>
        <w:tc>
          <w:tcPr>
            <w:tcW w:w="2167" w:type="pct"/>
            <w:tcBorders>
              <w:bottom w:val="single" w:sz="4" w:space="0" w:color="auto"/>
            </w:tcBorders>
            <w:vAlign w:val="bottom"/>
          </w:tcPr>
          <w:p w:rsidR="00E36413" w:rsidRPr="00B114CE" w:rsidRDefault="00E36413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E36413" w:rsidRPr="00B114CE" w:rsidRDefault="00AD31A9" w:rsidP="00DE4B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Токун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С.</w:t>
            </w:r>
          </w:p>
        </w:tc>
      </w:tr>
      <w:tr w:rsidR="00E36413" w:rsidRPr="00B114CE" w:rsidTr="00DE4B76">
        <w:trPr>
          <w:trHeight w:val="614"/>
        </w:trPr>
        <w:tc>
          <w:tcPr>
            <w:tcW w:w="1490" w:type="pct"/>
            <w:vAlign w:val="bottom"/>
          </w:tcPr>
          <w:p w:rsidR="00E36413" w:rsidRPr="00B114CE" w:rsidRDefault="00E36413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1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36413" w:rsidRPr="00B114CE" w:rsidRDefault="00E36413" w:rsidP="00DE4B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3" w:type="pct"/>
            <w:vAlign w:val="bottom"/>
          </w:tcPr>
          <w:p w:rsidR="00E36413" w:rsidRPr="00B114CE" w:rsidRDefault="00E36413" w:rsidP="00DE4B76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Губкин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А.Ф</w:t>
            </w:r>
            <w:r w:rsidRPr="00B114C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13" w:rsidRPr="00B114CE" w:rsidRDefault="00E36413" w:rsidP="00E3641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114CE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AD31A9" w:rsidRDefault="00E36413" w:rsidP="00E36413">
      <w:pPr>
        <w:pStyle w:val="a3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2018</w:t>
      </w:r>
    </w:p>
    <w:p w:rsidR="00AD31A9" w:rsidRDefault="00AD31A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E36413" w:rsidRDefault="00E36413" w:rsidP="00E36413">
      <w:pPr>
        <w:pStyle w:val="1"/>
        <w:jc w:val="both"/>
        <w:rPr>
          <w:rFonts w:ascii="Times New Roman" w:hAnsi="Times New Roman" w:cs="Times New Roman"/>
          <w:b/>
          <w:color w:val="auto"/>
        </w:rPr>
      </w:pPr>
      <w:bookmarkStart w:id="1" w:name="_Toc493192505"/>
      <w:bookmarkStart w:id="2" w:name="_Toc506627960"/>
      <w:r w:rsidRPr="000B4E56">
        <w:rPr>
          <w:rFonts w:ascii="Times New Roman" w:hAnsi="Times New Roman" w:cs="Times New Roman"/>
          <w:b/>
          <w:color w:val="auto"/>
        </w:rPr>
        <w:lastRenderedPageBreak/>
        <w:t>Цель работы</w:t>
      </w:r>
      <w:bookmarkEnd w:id="1"/>
      <w:r>
        <w:rPr>
          <w:rFonts w:ascii="Times New Roman" w:hAnsi="Times New Roman" w:cs="Times New Roman"/>
          <w:b/>
          <w:color w:val="auto"/>
        </w:rPr>
        <w:t>.</w:t>
      </w:r>
      <w:bookmarkEnd w:id="2"/>
    </w:p>
    <w:p w:rsidR="005F4E34" w:rsidRDefault="006C079C" w:rsidP="005F4E34">
      <w:pP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506627961"/>
      <w:r w:rsidRPr="006C079C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системный данные. Так загрузчик строит префикс сегмента программы (</w:t>
      </w:r>
      <w:r w:rsidRPr="006C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6C079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помещает его адрес в сегментный регистр. Исследование префикса сегмента программы (</w:t>
      </w:r>
      <w:r w:rsidRPr="006C079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6C079C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среды, передаваемой программе.</w:t>
      </w:r>
    </w:p>
    <w:p w:rsidR="005F4E34" w:rsidRDefault="005F4E34" w:rsidP="005F4E34">
      <w:pPr>
        <w:spacing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F4E34" w:rsidRPr="005F4E34" w:rsidRDefault="005F4E34" w:rsidP="005F4E34">
      <w:pPr>
        <w:spacing w:after="120" w:line="276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Основные теоретические положения.</w:t>
      </w:r>
    </w:p>
    <w:p w:rsidR="005F4E34" w:rsidRPr="005F4E34" w:rsidRDefault="005F4E34" w:rsidP="005F4E34">
      <w:pPr>
        <w:tabs>
          <w:tab w:val="left" w:pos="2968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начальной загрузке программы формируется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размещается в начале первого сегмента программы.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занимает 256 байт и располагается с адреса, кратного границе сегмента. При загрузке модулей типа 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COM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сегментные регистры указывают на адрес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загрузке модуля типа 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EXE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сегментные регистры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DS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ES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указывают на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Именно по этой причине значения этих регистров в модуле 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EXE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следует переопределять.</w:t>
      </w:r>
    </w:p>
    <w:p w:rsidR="005F4E34" w:rsidRPr="005F4E34" w:rsidRDefault="005F4E34" w:rsidP="005F4E34">
      <w:pPr>
        <w:tabs>
          <w:tab w:val="left" w:pos="2968"/>
        </w:tabs>
        <w:spacing w:after="0" w:line="276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Формат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W w:w="94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1607"/>
        <w:gridCol w:w="6288"/>
      </w:tblGrid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Смещение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Длина поля (байт)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Содержимое поля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int</w:t>
            </w:r>
            <w:proofErr w:type="spellEnd"/>
            <w:proofErr w:type="gramEnd"/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20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Сегментный адрес первого байта недоступной памяти. Программа не должна модифицировать содержимое памяти за этим адресом.</w:t>
            </w:r>
          </w:p>
        </w:tc>
      </w:tr>
      <w:tr w:rsidR="005F4E34" w:rsidRPr="005F4E34" w:rsidTr="005F4E34">
        <w:trPr>
          <w:trHeight w:val="398"/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Зарезервировано.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(10)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 прерывания 22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(14)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 прерывания 23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(18)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Вектор прерывания 24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IP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CS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proofErr w:type="spellStart"/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proofErr w:type="spellEnd"/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(44)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Сегментный адрес среды, передаваемой программе.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proofErr w:type="spellStart"/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proofErr w:type="spellEnd"/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Область форматируется как стандартный неоткрытый блок управления файлом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FCB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  <w:proofErr w:type="spellStart"/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proofErr w:type="spellEnd"/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Область форматируется как стандартный неоткрытый блок управления файлом (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FCB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). Перекрывается, если 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FCB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 адреса 5</w:t>
            </w:r>
            <w:proofErr w:type="spellStart"/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Ch</w:t>
            </w:r>
            <w:proofErr w:type="spellEnd"/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открыт.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80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Число символов в хвосте командной строки.</w:t>
            </w:r>
          </w:p>
        </w:tc>
      </w:tr>
      <w:tr w:rsidR="005F4E34" w:rsidRPr="005F4E34" w:rsidTr="005F4E34">
        <w:trPr>
          <w:jc w:val="center"/>
        </w:trPr>
        <w:tc>
          <w:tcPr>
            <w:tcW w:w="1563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81</w:t>
            </w: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607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288" w:type="dxa"/>
          </w:tcPr>
          <w:p w:rsidR="005F4E34" w:rsidRPr="005F4E34" w:rsidRDefault="005F4E34" w:rsidP="005F4E34">
            <w:pPr>
              <w:tabs>
                <w:tab w:val="left" w:pos="2968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4E3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Хвост командной строки – последовательность символов после имени вызываемого модуля.</w:t>
            </w:r>
          </w:p>
        </w:tc>
      </w:tr>
    </w:tbl>
    <w:p w:rsid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Таблица 1. Формат </w:t>
      </w:r>
      <w:r w:rsidRPr="005F4E34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PSP</w:t>
      </w:r>
      <w:r w:rsidRPr="005F4E3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F4E34" w:rsidRP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F4E34" w:rsidRPr="005F4E34" w:rsidRDefault="005F4E34" w:rsidP="005F4E34">
      <w:pPr>
        <w:tabs>
          <w:tab w:val="left" w:pos="540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4E34" w:rsidRPr="005F4E34" w:rsidRDefault="005F4E34" w:rsidP="005F4E34">
      <w:pPr>
        <w:tabs>
          <w:tab w:val="left" w:pos="5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Область среды содержит последовательность символьных строк вида: </w:t>
      </w:r>
    </w:p>
    <w:p w:rsidR="005F4E34" w:rsidRPr="005F4E34" w:rsidRDefault="005F4E34" w:rsidP="005F4E34">
      <w:pPr>
        <w:tabs>
          <w:tab w:val="left" w:pos="540"/>
        </w:tabs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имя=параметр</w:t>
      </w:r>
    </w:p>
    <w:p w:rsidR="005F4E34" w:rsidRPr="005F4E34" w:rsidRDefault="005F4E34" w:rsidP="005F4E34">
      <w:pPr>
        <w:tabs>
          <w:tab w:val="left" w:pos="296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Каждая строка завершается байтом нулей.</w:t>
      </w:r>
    </w:p>
    <w:p w:rsidR="005F4E34" w:rsidRPr="005F4E34" w:rsidRDefault="005F4E34" w:rsidP="005F4E34">
      <w:pPr>
        <w:tabs>
          <w:tab w:val="left" w:pos="540"/>
        </w:tabs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первой строке указывается имя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COMSPEC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которая определяет используемый командный процессор и путь к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COMMAND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Следующие строки содержат информацию, задаваемую командами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PATH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PROMT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SET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5F4E34" w:rsidRDefault="005F4E34" w:rsidP="005F4E34">
      <w:pPr>
        <w:tabs>
          <w:tab w:val="left" w:pos="540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Среда заканчивается также байтом нулей. Таким образом, два нулевых байта являются признаком конца переменных среды. Затем идут два байта, содержащих 00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, 01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после которых располагается маршрут загруженной программы. Маршрут также заканчивается байтом 00</w:t>
      </w:r>
      <w:r w:rsidRPr="005F4E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Pr="005F4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:rsidR="005F4E34" w:rsidRPr="006C079C" w:rsidRDefault="005F4E34" w:rsidP="006C079C">
      <w:pPr>
        <w:spacing w:after="120"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36413" w:rsidRDefault="00E36413" w:rsidP="00E36413">
      <w:pPr>
        <w:pStyle w:val="1"/>
        <w:rPr>
          <w:rFonts w:ascii="Times New Roman" w:hAnsi="Times New Roman" w:cs="Times New Roman"/>
          <w:b/>
          <w:color w:val="auto"/>
        </w:rPr>
      </w:pPr>
      <w:r w:rsidRPr="002F5AF5">
        <w:rPr>
          <w:rFonts w:ascii="Times New Roman" w:hAnsi="Times New Roman" w:cs="Times New Roman"/>
          <w:b/>
          <w:color w:val="auto"/>
        </w:rPr>
        <w:t>Ход работы.</w:t>
      </w:r>
      <w:bookmarkEnd w:id="3"/>
    </w:p>
    <w:p w:rsidR="00E36413" w:rsidRPr="006C079C" w:rsidRDefault="00E36413" w:rsidP="006C079C">
      <w:pPr>
        <w:pStyle w:val="2"/>
        <w:numPr>
          <w:ilvl w:val="0"/>
          <w:numId w:val="1"/>
        </w:numPr>
        <w:spacing w:before="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506627962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Описание данных</w:t>
      </w:r>
      <w:bookmarkEnd w:id="4"/>
    </w:p>
    <w:p w:rsidR="006C079C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UnavailAdr</w:t>
      </w:r>
      <w:proofErr w:type="spellEnd"/>
      <w:r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сегментный адрес недоступной памяти</w:t>
      </w:r>
    </w:p>
    <w:p w:rsidR="00E36413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EnvAdr</w:t>
      </w:r>
      <w:proofErr w:type="spellEnd"/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сегментный адрес среды, передаваемой программе</w:t>
      </w:r>
    </w:p>
    <w:p w:rsidR="00E36413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FindTail</w:t>
      </w:r>
      <w:proofErr w:type="spellEnd"/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сообщение о выводе хвоста командной строки</w:t>
      </w:r>
    </w:p>
    <w:p w:rsidR="00E36413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EnvContent</w:t>
      </w:r>
      <w:proofErr w:type="spellEnd"/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сообщение о выводе содержимого области среды</w:t>
      </w:r>
    </w:p>
    <w:p w:rsidR="00E36413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ModPath</w:t>
      </w:r>
      <w:proofErr w:type="spellEnd"/>
      <w:r w:rsidR="00AD31A9" w:rsidRPr="006C079C">
        <w:rPr>
          <w:rFonts w:ascii="Times New Roman" w:hAnsi="Times New Roman" w:cs="Times New Roman"/>
          <w:sz w:val="28"/>
          <w:szCs w:val="28"/>
        </w:rPr>
        <w:t xml:space="preserve"> </w:t>
      </w:r>
      <w:r w:rsidR="00E36413" w:rsidRPr="006C079C">
        <w:rPr>
          <w:rFonts w:ascii="Times New Roman" w:hAnsi="Times New Roman" w:cs="Times New Roman"/>
          <w:sz w:val="28"/>
          <w:szCs w:val="28"/>
        </w:rPr>
        <w:t>– содержит сообщение о выводе пути загружаемого модуля</w:t>
      </w:r>
    </w:p>
    <w:p w:rsidR="006C079C" w:rsidRPr="006C079C" w:rsidRDefault="006C079C" w:rsidP="006C079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6413" w:rsidRPr="006C079C" w:rsidRDefault="00E36413" w:rsidP="006C079C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06627963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Описание функций</w:t>
      </w:r>
      <w:bookmarkEnd w:id="5"/>
    </w:p>
    <w:p w:rsidR="00E36413" w:rsidRPr="006C079C" w:rsidRDefault="00E36413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  <w:lang w:val="en-US"/>
        </w:rPr>
        <w:t>TETR_TO_HEX, BYTE_TO_HEX, WRD_TO_HEX</w:t>
      </w:r>
      <w:r w:rsidRPr="006C079C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6C07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079C">
        <w:rPr>
          <w:rFonts w:ascii="Times New Roman" w:hAnsi="Times New Roman" w:cs="Times New Roman"/>
          <w:sz w:val="28"/>
          <w:szCs w:val="28"/>
        </w:rPr>
        <w:t>перевод</w:t>
      </w:r>
      <w:r w:rsidRPr="006C079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C079C">
        <w:rPr>
          <w:rFonts w:ascii="Times New Roman" w:hAnsi="Times New Roman" w:cs="Times New Roman"/>
          <w:sz w:val="28"/>
          <w:szCs w:val="28"/>
        </w:rPr>
        <w:t>в</w:t>
      </w:r>
      <w:r w:rsidRPr="006C079C">
        <w:rPr>
          <w:rFonts w:ascii="Times New Roman" w:hAnsi="Times New Roman" w:cs="Times New Roman"/>
          <w:sz w:val="28"/>
          <w:szCs w:val="28"/>
          <w:lang w:val="en-GB"/>
        </w:rPr>
        <w:t xml:space="preserve"> 16</w:t>
      </w:r>
      <w:proofErr w:type="spellStart"/>
      <w:r w:rsidRPr="006C079C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Pr="006C079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C079C">
        <w:rPr>
          <w:rFonts w:ascii="Times New Roman" w:hAnsi="Times New Roman" w:cs="Times New Roman"/>
          <w:sz w:val="28"/>
          <w:szCs w:val="28"/>
        </w:rPr>
        <w:t>СС</w:t>
      </w:r>
    </w:p>
    <w:p w:rsidR="00E36413" w:rsidRPr="006C079C" w:rsidRDefault="00E36413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BYTE_TO_DEC</w:t>
      </w:r>
      <w:r w:rsidRPr="006C079C">
        <w:rPr>
          <w:rFonts w:ascii="Times New Roman" w:hAnsi="Times New Roman" w:cs="Times New Roman"/>
          <w:sz w:val="28"/>
          <w:szCs w:val="28"/>
        </w:rPr>
        <w:t xml:space="preserve"> – </w:t>
      </w:r>
      <w:r w:rsidR="006C079C">
        <w:rPr>
          <w:rFonts w:ascii="Times New Roman" w:hAnsi="Times New Roman" w:cs="Times New Roman"/>
          <w:sz w:val="28"/>
          <w:szCs w:val="28"/>
        </w:rPr>
        <w:t xml:space="preserve"> перевод</w:t>
      </w:r>
      <w:r w:rsidRPr="006C079C">
        <w:rPr>
          <w:rFonts w:ascii="Times New Roman" w:hAnsi="Times New Roman" w:cs="Times New Roman"/>
          <w:sz w:val="28"/>
          <w:szCs w:val="28"/>
        </w:rPr>
        <w:t xml:space="preserve"> в 10ую СС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IDENT_UN_MEM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первого байта недоступной памяти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IDENT_ADR_ENV</w:t>
      </w:r>
      <w:r>
        <w:rPr>
          <w:rFonts w:ascii="Times New Roman" w:hAnsi="Times New Roman" w:cs="Times New Roman"/>
          <w:sz w:val="28"/>
          <w:szCs w:val="28"/>
        </w:rPr>
        <w:t xml:space="preserve"> –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сегментного адреса среды, передаваемой программе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INDENT_COM_TAIL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хвоста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командной строки в символьном виде</w:t>
      </w:r>
    </w:p>
    <w:p w:rsidR="00E36413" w:rsidRPr="006C079C" w:rsidRDefault="006C079C" w:rsidP="006C079C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IDENT_ENV_CONT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определение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содержимого области среды и пути к модулю</w:t>
      </w:r>
    </w:p>
    <w:p w:rsidR="00B76AE8" w:rsidRDefault="006C079C" w:rsidP="00B76AE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b/>
          <w:sz w:val="28"/>
          <w:szCs w:val="28"/>
        </w:rPr>
        <w:t>WRITE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>вывод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="00B76AE8">
        <w:rPr>
          <w:rFonts w:ascii="Times New Roman" w:hAnsi="Times New Roman" w:cs="Times New Roman"/>
          <w:sz w:val="28"/>
          <w:szCs w:val="28"/>
        </w:rPr>
        <w:br w:type="page"/>
      </w:r>
    </w:p>
    <w:p w:rsidR="00E36413" w:rsidRPr="006C079C" w:rsidRDefault="00E36413" w:rsidP="00B76AE8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06627964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алгоритма</w:t>
      </w:r>
      <w:bookmarkEnd w:id="6"/>
    </w:p>
    <w:p w:rsidR="00E36413" w:rsidRDefault="00E36413" w:rsidP="006C079C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sz w:val="28"/>
          <w:szCs w:val="28"/>
        </w:rPr>
        <w:t>Программа определяет сегментный адрес недоступной памяти, сегментный адрес среды, передаваемой программе, хвост командной строки, содержимое области среды, а также пути загружаемого модуля, а затем выводит их.</w:t>
      </w:r>
    </w:p>
    <w:p w:rsidR="005F4E34" w:rsidRPr="006C079C" w:rsidRDefault="005F4E34" w:rsidP="006C079C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F4E34" w:rsidRPr="005F4E34" w:rsidRDefault="00E36413" w:rsidP="005F4E34">
      <w:pPr>
        <w:pStyle w:val="2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506627965"/>
      <w:r w:rsidRPr="006C079C">
        <w:rPr>
          <w:rFonts w:ascii="Times New Roman" w:hAnsi="Times New Roman" w:cs="Times New Roman"/>
          <w:b/>
          <w:color w:val="auto"/>
          <w:sz w:val="28"/>
          <w:szCs w:val="28"/>
        </w:rPr>
        <w:t>Результат выполнения</w:t>
      </w:r>
      <w:bookmarkEnd w:id="7"/>
    </w:p>
    <w:p w:rsidR="00E36413" w:rsidRPr="006C079C" w:rsidRDefault="005F4E34" w:rsidP="005F4E34">
      <w:pPr>
        <w:ind w:left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E876B6" wp14:editId="74414047">
            <wp:extent cx="3257550" cy="1495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341" r="45163" b="3809"/>
                    <a:stretch/>
                  </pic:blipFill>
                  <pic:spPr bwMode="auto">
                    <a:xfrm>
                      <a:off x="0" y="0"/>
                      <a:ext cx="325755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E34" w:rsidRDefault="00E36413" w:rsidP="00B76AE8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:rsidR="00B76AE8" w:rsidRDefault="00B76AE8" w:rsidP="00B76AE8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:rsidR="005F4E34" w:rsidRDefault="005F4E34" w:rsidP="005F4E3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47999" cy="1400175"/>
            <wp:effectExtent l="0" t="0" r="635" b="0"/>
            <wp:docPr id="2" name="Рисунок 2" descr="C:\Users\mihai\AppData\Local\Microsoft\Windows\INetCache\Content.Word\2018-04-15_21-5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hai\AppData\Local\Microsoft\Windows\INetCache\Content.Word\2018-04-15_21-53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57078" r="46120" b="8394"/>
                    <a:stretch/>
                  </pic:blipFill>
                  <pic:spPr bwMode="auto">
                    <a:xfrm>
                      <a:off x="0" y="0"/>
                      <a:ext cx="3048280" cy="1400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E34" w:rsidRDefault="005F4E34" w:rsidP="005F4E3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6C079C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 с аргументами</w:t>
      </w:r>
    </w:p>
    <w:p w:rsidR="00F673BD" w:rsidRDefault="00F673BD" w:rsidP="005F4E34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GoBack"/>
      <w:bookmarkEnd w:id="8"/>
    </w:p>
    <w:p w:rsidR="00C44A28" w:rsidRPr="001F1AAB" w:rsidRDefault="00C44A28" w:rsidP="00C44A28">
      <w:pPr>
        <w:pStyle w:val="1"/>
        <w:rPr>
          <w:rFonts w:ascii="Times New Roman" w:hAnsi="Times New Roman" w:cs="Times New Roman"/>
          <w:b/>
          <w:color w:val="auto"/>
        </w:rPr>
      </w:pPr>
      <w:bookmarkStart w:id="9" w:name="_Toc506627967"/>
      <w:r w:rsidRPr="00C276EE">
        <w:rPr>
          <w:rFonts w:ascii="Times New Roman" w:hAnsi="Times New Roman" w:cs="Times New Roman"/>
          <w:b/>
          <w:color w:val="auto"/>
        </w:rPr>
        <w:t>Вывод</w:t>
      </w:r>
      <w:r w:rsidRPr="001F1AAB">
        <w:rPr>
          <w:rFonts w:ascii="Times New Roman" w:hAnsi="Times New Roman" w:cs="Times New Roman"/>
          <w:b/>
          <w:color w:val="auto"/>
        </w:rPr>
        <w:t>.</w:t>
      </w:r>
      <w:bookmarkEnd w:id="9"/>
    </w:p>
    <w:p w:rsidR="00C44A28" w:rsidRPr="005F4E34" w:rsidRDefault="00C44A28" w:rsidP="00C44A28">
      <w:pPr>
        <w:pStyle w:val="a3"/>
        <w:spacing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4E34">
        <w:rPr>
          <w:rFonts w:ascii="Times New Roman" w:eastAsia="Calibri" w:hAnsi="Times New Roman" w:cs="Times New Roman"/>
          <w:sz w:val="28"/>
          <w:szCs w:val="28"/>
        </w:rPr>
        <w:t>В ходе лабораторной работы были</w:t>
      </w:r>
      <w:r w:rsidRPr="005F4E34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5F4E34">
        <w:rPr>
          <w:rFonts w:ascii="Times New Roman" w:eastAsia="Calibri" w:hAnsi="Times New Roman" w:cs="Times New Roman"/>
          <w:sz w:val="28"/>
        </w:rPr>
        <w:t>исследованы</w:t>
      </w:r>
      <w:r w:rsidRPr="005F4E34">
        <w:rPr>
          <w:rFonts w:ascii="Times New Roman" w:eastAsia="Calibri" w:hAnsi="Times New Roman" w:cs="Times New Roman"/>
          <w:sz w:val="28"/>
          <w:szCs w:val="28"/>
        </w:rPr>
        <w:t xml:space="preserve"> интерфейсы управляющей программы и загрузочных модулей, а также префикс сегмента программы (</w:t>
      </w:r>
      <w:r w:rsidRPr="005F4E34">
        <w:rPr>
          <w:rFonts w:ascii="Times New Roman" w:eastAsia="Calibri" w:hAnsi="Times New Roman" w:cs="Times New Roman"/>
          <w:sz w:val="28"/>
          <w:szCs w:val="28"/>
          <w:lang w:val="en-US"/>
        </w:rPr>
        <w:t>PSP</w:t>
      </w:r>
      <w:r w:rsidRPr="005F4E34">
        <w:rPr>
          <w:rFonts w:ascii="Times New Roman" w:eastAsia="Calibri" w:hAnsi="Times New Roman" w:cs="Times New Roman"/>
          <w:sz w:val="28"/>
          <w:szCs w:val="28"/>
        </w:rPr>
        <w:t>) и среды, передаваемой программе. Была написана программа, которая выводит на экран сегментный адрес недоступной памяти, взятый из PSP, сегментный адрес среды, передаваемой программе, хвост командной строки и путь загружаемого модуля.</w:t>
      </w:r>
    </w:p>
    <w:p w:rsidR="005F4E34" w:rsidRPr="006C079C" w:rsidRDefault="005F4E34" w:rsidP="00C44A28">
      <w:pPr>
        <w:rPr>
          <w:rFonts w:ascii="Times New Roman" w:hAnsi="Times New Roman" w:cs="Times New Roman"/>
          <w:sz w:val="28"/>
          <w:szCs w:val="28"/>
        </w:rPr>
      </w:pPr>
    </w:p>
    <w:p w:rsidR="00E36413" w:rsidRPr="00C44A28" w:rsidRDefault="00E36413" w:rsidP="00C44A28">
      <w:pPr>
        <w:pStyle w:val="2"/>
        <w:rPr>
          <w:rFonts w:ascii="Times New Roman" w:hAnsi="Times New Roman" w:cs="Times New Roman"/>
          <w:b/>
          <w:color w:val="auto"/>
          <w:sz w:val="32"/>
          <w:szCs w:val="28"/>
        </w:rPr>
      </w:pPr>
      <w:bookmarkStart w:id="10" w:name="_Toc506627966"/>
      <w:r w:rsidRPr="00C44A28">
        <w:rPr>
          <w:rFonts w:ascii="Times New Roman" w:hAnsi="Times New Roman" w:cs="Times New Roman"/>
          <w:b/>
          <w:color w:val="auto"/>
          <w:sz w:val="32"/>
          <w:szCs w:val="28"/>
        </w:rPr>
        <w:t>Ответы на контрольные вопросы</w:t>
      </w:r>
      <w:bookmarkEnd w:id="10"/>
      <w:r w:rsidR="00C44A28">
        <w:rPr>
          <w:rFonts w:ascii="Times New Roman" w:hAnsi="Times New Roman" w:cs="Times New Roman"/>
          <w:b/>
          <w:color w:val="auto"/>
          <w:sz w:val="32"/>
          <w:szCs w:val="28"/>
        </w:rPr>
        <w:t>.</w:t>
      </w:r>
    </w:p>
    <w:p w:rsidR="00E36413" w:rsidRPr="006C079C" w:rsidRDefault="00E36413" w:rsidP="00C44A2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sz w:val="28"/>
          <w:szCs w:val="28"/>
        </w:rPr>
        <w:t xml:space="preserve"> </w:t>
      </w:r>
      <w:r w:rsidRPr="006C079C">
        <w:rPr>
          <w:rFonts w:ascii="Times New Roman" w:hAnsi="Times New Roman" w:cs="Times New Roman"/>
          <w:sz w:val="28"/>
          <w:szCs w:val="28"/>
        </w:rPr>
        <w:t>Сегментный адрес недоступной памяти</w:t>
      </w:r>
    </w:p>
    <w:p w:rsidR="00E36413" w:rsidRPr="006C079C" w:rsidRDefault="00B76AE8" w:rsidP="00E36413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недоступной памяти указывает н</w:t>
      </w:r>
      <w:r w:rsidR="00E36413" w:rsidRPr="006C079C">
        <w:rPr>
          <w:rFonts w:ascii="Times New Roman" w:hAnsi="Times New Roman" w:cs="Times New Roman"/>
          <w:sz w:val="28"/>
          <w:szCs w:val="28"/>
        </w:rPr>
        <w:t>а адрес окончания основной оперативной памяти</w:t>
      </w:r>
    </w:p>
    <w:p w:rsidR="00E36413" w:rsidRPr="006C079C" w:rsidRDefault="00B76AE8" w:rsidP="00E36413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Адрес недоступной памяти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расположен за областью памяти, отведённой программе</w:t>
      </w:r>
    </w:p>
    <w:p w:rsidR="00E36413" w:rsidRPr="006C079C" w:rsidRDefault="00B76AE8" w:rsidP="00E36413">
      <w:pPr>
        <w:pStyle w:val="a5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эту область можно писать</w:t>
      </w:r>
      <w:r w:rsidR="00E36413" w:rsidRPr="006C079C">
        <w:rPr>
          <w:rFonts w:ascii="Times New Roman" w:hAnsi="Times New Roman" w:cs="Times New Roman"/>
          <w:sz w:val="28"/>
          <w:szCs w:val="28"/>
        </w:rPr>
        <w:t>, т.к. отсутствует защита от записи</w:t>
      </w:r>
    </w:p>
    <w:p w:rsidR="00E36413" w:rsidRPr="006C079C" w:rsidRDefault="00E36413" w:rsidP="00C44A2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C079C">
        <w:rPr>
          <w:rFonts w:ascii="Times New Roman" w:hAnsi="Times New Roman" w:cs="Times New Roman"/>
          <w:sz w:val="28"/>
          <w:szCs w:val="28"/>
        </w:rPr>
        <w:t>Среда, передаваемая программе</w:t>
      </w:r>
    </w:p>
    <w:p w:rsidR="00E36413" w:rsidRPr="006C079C" w:rsidRDefault="00B76AE8" w:rsidP="00E36413">
      <w:pPr>
        <w:pStyle w:val="a5"/>
        <w:numPr>
          <w:ilvl w:val="2"/>
          <w:numId w:val="1"/>
        </w:numPr>
        <w:ind w:left="156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- это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 область памяти, содержащая переменные среды, записанные в виде строк «ИМЯ=ПАРАМЕТР»</w:t>
      </w:r>
    </w:p>
    <w:p w:rsidR="00E36413" w:rsidRPr="006C079C" w:rsidRDefault="00B76AE8" w:rsidP="00E36413">
      <w:pPr>
        <w:pStyle w:val="a5"/>
        <w:numPr>
          <w:ilvl w:val="2"/>
          <w:numId w:val="1"/>
        </w:numPr>
        <w:ind w:left="156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создается п</w:t>
      </w:r>
      <w:r w:rsidR="00E36413" w:rsidRPr="006C079C">
        <w:rPr>
          <w:rFonts w:ascii="Times New Roman" w:hAnsi="Times New Roman" w:cs="Times New Roman"/>
          <w:sz w:val="28"/>
          <w:szCs w:val="28"/>
        </w:rPr>
        <w:t xml:space="preserve">ри загрузке в </w:t>
      </w:r>
      <w:r w:rsidR="00E36413" w:rsidRPr="006C079C"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:rsidR="008A2CF7" w:rsidRDefault="00B76AE8" w:rsidP="00333EAD">
      <w:pPr>
        <w:pStyle w:val="a5"/>
        <w:numPr>
          <w:ilvl w:val="2"/>
          <w:numId w:val="1"/>
        </w:numPr>
        <w:ind w:left="1560" w:hanging="425"/>
        <w:jc w:val="both"/>
      </w:pPr>
      <w:r w:rsidRPr="00C44A28">
        <w:rPr>
          <w:rFonts w:ascii="Times New Roman" w:hAnsi="Times New Roman" w:cs="Times New Roman"/>
          <w:sz w:val="28"/>
          <w:szCs w:val="28"/>
        </w:rPr>
        <w:t>Информация, записываемая в среду, к</w:t>
      </w:r>
      <w:r w:rsidR="00E36413" w:rsidRPr="00C44A28">
        <w:rPr>
          <w:rFonts w:ascii="Times New Roman" w:hAnsi="Times New Roman" w:cs="Times New Roman"/>
          <w:sz w:val="28"/>
          <w:szCs w:val="28"/>
        </w:rPr>
        <w:t>опируется из родительской программы</w:t>
      </w:r>
    </w:p>
    <w:sectPr w:rsidR="008A2CF7" w:rsidSect="007C6AE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793" w:rsidRDefault="00176793">
      <w:pPr>
        <w:spacing w:after="0" w:line="240" w:lineRule="auto"/>
      </w:pPr>
      <w:r>
        <w:separator/>
      </w:r>
    </w:p>
  </w:endnote>
  <w:endnote w:type="continuationSeparator" w:id="0">
    <w:p w:rsidR="00176793" w:rsidRDefault="00176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944262"/>
      <w:docPartObj>
        <w:docPartGallery w:val="Page Numbers (Bottom of Page)"/>
        <w:docPartUnique/>
      </w:docPartObj>
    </w:sdtPr>
    <w:sdtEndPr/>
    <w:sdtContent>
      <w:p w:rsidR="007C6AE9" w:rsidRDefault="00B76AE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73BD">
          <w:rPr>
            <w:noProof/>
          </w:rPr>
          <w:t>5</w:t>
        </w:r>
        <w:r>
          <w:fldChar w:fldCharType="end"/>
        </w:r>
      </w:p>
    </w:sdtContent>
  </w:sdt>
  <w:p w:rsidR="007C6AE9" w:rsidRDefault="001767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793" w:rsidRDefault="00176793">
      <w:pPr>
        <w:spacing w:after="0" w:line="240" w:lineRule="auto"/>
      </w:pPr>
      <w:r>
        <w:separator/>
      </w:r>
    </w:p>
  </w:footnote>
  <w:footnote w:type="continuationSeparator" w:id="0">
    <w:p w:rsidR="00176793" w:rsidRDefault="001767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139"/>
    <w:multiLevelType w:val="hybridMultilevel"/>
    <w:tmpl w:val="AEC8C630"/>
    <w:lvl w:ilvl="0" w:tplc="CB7E1F8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90EAD"/>
    <w:multiLevelType w:val="hybridMultilevel"/>
    <w:tmpl w:val="62442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84401"/>
    <w:multiLevelType w:val="multilevel"/>
    <w:tmpl w:val="3C2831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F0906ED"/>
    <w:multiLevelType w:val="hybridMultilevel"/>
    <w:tmpl w:val="C9EC05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13"/>
    <w:rsid w:val="00176793"/>
    <w:rsid w:val="002F06B2"/>
    <w:rsid w:val="005F4E34"/>
    <w:rsid w:val="006C079C"/>
    <w:rsid w:val="008A2CF7"/>
    <w:rsid w:val="00AD31A9"/>
    <w:rsid w:val="00B76AE8"/>
    <w:rsid w:val="00C44A28"/>
    <w:rsid w:val="00E36413"/>
    <w:rsid w:val="00F6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65C55"/>
  <w15:chartTrackingRefBased/>
  <w15:docId w15:val="{3948F8BF-9418-4575-A18E-B15661F4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413"/>
  </w:style>
  <w:style w:type="paragraph" w:styleId="1">
    <w:name w:val="heading 1"/>
    <w:basedOn w:val="a"/>
    <w:next w:val="a"/>
    <w:link w:val="10"/>
    <w:uiPriority w:val="9"/>
    <w:qFormat/>
    <w:rsid w:val="00E364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4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64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4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E36413"/>
    <w:pPr>
      <w:spacing w:after="0" w:line="240" w:lineRule="auto"/>
    </w:pPr>
  </w:style>
  <w:style w:type="character" w:styleId="a4">
    <w:name w:val="Book Title"/>
    <w:basedOn w:val="a0"/>
    <w:uiPriority w:val="33"/>
    <w:qFormat/>
    <w:rsid w:val="00E36413"/>
    <w:rPr>
      <w:b/>
      <w:bCs/>
      <w:smallCaps/>
      <w:spacing w:val="5"/>
    </w:rPr>
  </w:style>
  <w:style w:type="paragraph" w:styleId="a5">
    <w:name w:val="List Paragraph"/>
    <w:basedOn w:val="a"/>
    <w:uiPriority w:val="34"/>
    <w:qFormat/>
    <w:rsid w:val="00E3641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E36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6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Tokun</dc:creator>
  <cp:keywords/>
  <dc:description/>
  <cp:lastModifiedBy>Mihail Tokun</cp:lastModifiedBy>
  <cp:revision>3</cp:revision>
  <dcterms:created xsi:type="dcterms:W3CDTF">2018-04-15T17:26:00Z</dcterms:created>
  <dcterms:modified xsi:type="dcterms:W3CDTF">2018-04-16T18:44:00Z</dcterms:modified>
</cp:coreProperties>
</file>