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400" w:after="160" w:line="360" w:lineRule="auto"/>
        <w:jc w:val="center"/>
      </w:pPr>
      <w:r>
        <w:rPr>
          <w:rFonts w:ascii="Times New Roman" w:hAnsi="Times New Roman" w:eastAsia="微软雅黑"/>
          <w:b/>
          <w:color w:val="1F4E78"/>
          <w:sz w:val="32"/>
        </w:rPr>
        <w:t>“挑战杯”揭榜挂帅专项赛</w:t>
      </w:r>
    </w:p>
    <w:p>
      <w:pPr>
        <w:keepNext w:val="0"/>
        <w:spacing w:before="0" w:after="520" w:line="360" w:lineRule="auto"/>
        <w:jc w:val="center"/>
      </w:pPr>
      <w:r>
        <w:rPr>
          <w:rFonts w:ascii="Times New Roman" w:hAnsi="Times New Roman" w:eastAsia="微软雅黑"/>
          <w:color w:val="666666"/>
          <w:sz w:val="22"/>
        </w:rPr>
        <w:t>题目编号：XH-202630</w:t>
      </w:r>
    </w:p>
    <w:p>
      <w:pPr>
        <w:keepNext w:val="0"/>
        <w:spacing w:before="0" w:after="240" w:line="360" w:lineRule="auto"/>
        <w:jc w:val="center"/>
      </w:pPr>
      <w:r>
        <w:rPr>
          <w:rFonts w:ascii="Times New Roman" w:hAnsi="Times New Roman" w:eastAsia="微软雅黑"/>
          <w:b/>
          <w:color w:val="1F4E78"/>
          <w:sz w:val="52"/>
        </w:rPr>
        <w:t>作品设计实现方案</w:t>
      </w:r>
    </w:p>
    <w:p>
      <w:pPr>
        <w:keepNext w:val="0"/>
        <w:spacing w:before="0" w:after="200" w:line="360" w:lineRule="auto"/>
        <w:jc w:val="center"/>
      </w:pPr>
      <w:r>
        <w:rPr>
          <w:rFonts w:ascii="Times New Roman" w:hAnsi="Times New Roman" w:eastAsia="微软雅黑"/>
          <w:b/>
          <w:color w:val="1F2937"/>
          <w:sz w:val="34"/>
        </w:rPr>
        <w:t>时珍智训——中医药资格考试多智能体个性化学习系统</w:t>
      </w:r>
    </w:p>
    <w:p>
      <w:pPr>
        <w:keepNext w:val="0"/>
        <w:spacing w:before="0" w:after="640" w:line="360" w:lineRule="auto"/>
        <w:jc w:val="center"/>
      </w:pPr>
      <w:r>
        <w:rPr>
          <w:rFonts w:ascii="Times New Roman" w:hAnsi="Times New Roman" w:eastAsia="宋体"/>
          <w:color w:val="666666"/>
          <w:sz w:val="24"/>
        </w:rPr>
        <w:t>领域知识个性化生成与多智能体协同决策系统研究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288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26"/>
              </w:rPr>
              <w:t>【插入图/截图】</w:t>
            </w:r>
          </w:p>
          <w:p>
            <w:pPr>
              <w:keepNext w:val="0"/>
              <w:widowControl/>
              <w:spacing w:before="0" w:after="0" w:line="312" w:lineRule="auto"/>
              <w:jc w:val="center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请替换为作品 Logo、首页主视觉或“六智能体协同学习闭环”主视觉；建议宽 15 cm、高 7 cm，使用 300 dpi 图片。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keepNext w:val="0"/>
        <w:spacing w:before="80" w:after="160" w:line="240" w:lineRule="auto"/>
        <w:jc w:val="center"/>
      </w:pPr>
      <w:r>
        <w:rPr>
          <w:rFonts w:ascii="Times New Roman" w:hAnsi="Times New Roman" w:eastAsia="黑体"/>
          <w:color w:val="1F2937"/>
          <w:sz w:val="19"/>
        </w:rPr>
        <w:t>封面图（不编号）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4451"/>
        <w:gridCol w:w="4451"/>
      </w:tblGrid>
      <w:tr>
        <w:trPr>
          <w:tblHeader w:val="true"/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20"/>
              </w:rPr>
              <w:t>项目信息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20"/>
              </w:rPr>
              <w:t>填写内容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20"/>
              </w:rPr>
              <w:t>申报学校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20"/>
              </w:rPr>
              <w:t>【填写学校全称】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20"/>
              </w:rPr>
              <w:t>团队名称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20"/>
              </w:rPr>
              <w:t>【填写团队名称】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20"/>
              </w:rPr>
              <w:t>项目负责人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20"/>
              </w:rPr>
              <w:t>【姓名】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20"/>
              </w:rPr>
              <w:t>团队成员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20"/>
              </w:rPr>
              <w:t>【姓名1、姓名2……不超过10人】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20"/>
              </w:rPr>
              <w:t>指导教师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20"/>
              </w:rPr>
              <w:t>【姓名1、姓名2……不超过3人】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20"/>
              </w:rPr>
              <w:t>联系人及电话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20"/>
              </w:rPr>
              <w:t>【姓名 / 手机号】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20"/>
              </w:rPr>
              <w:t>作品版本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20"/>
              </w:rPr>
              <w:t>V【填写】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20"/>
              </w:rPr>
              <w:t>对应代码版本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20"/>
              </w:rPr>
              <w:t>【Git commit / release tag】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20"/>
              </w:rPr>
              <w:t>完成日期</w:t>
            </w:r>
          </w:p>
        </w:tc>
        <w:tc>
          <w:tcPr>
            <w:tcW w:type="dxa" w:w="6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20"/>
              </w:rPr>
              <w:t>2026年【月】月【日】日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文档使用说明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00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19"/>
              </w:rPr>
              <w:t>注意：</w:t>
            </w: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本文件是可直接填写的参赛主文档模板。带“【待填写】”或“【插入图/截图】”的文字为填写提示，直接在提示文字后补充内容即可。填写完成后请删除所有“模板说明”和未使用的占位文字。</w:t>
            </w:r>
          </w:p>
        </w:tc>
      </w:tr>
    </w:tbl>
    <w:p>
      <w:pPr>
        <w:spacing w:after="0"/>
      </w:pPr>
    </w:p>
    <w:p>
      <w:pPr>
        <w:keepNext w:val="0"/>
        <w:spacing w:before="0" w:after="80" w:line="360" w:lineRule="auto"/>
        <w:ind w:firstLine="420"/>
      </w:pPr>
      <w:r>
        <w:rPr>
          <w:rFonts w:ascii="Times New Roman" w:hAnsi="Times New Roman" w:eastAsia="宋体"/>
        </w:rPr>
        <w:t>建议主文档控制在 45～70 页。技术细节、完整接口 Schema、部署命令和大批量测试明细放入附件，主文档只保留支撑评分结论所必需的证据。</w:t>
      </w:r>
    </w:p>
    <w:p>
      <w:pPr>
        <w:keepNext w:val="0"/>
        <w:spacing w:before="0" w:after="80" w:line="360" w:lineRule="auto"/>
        <w:ind w:firstLine="420"/>
      </w:pPr>
      <w:r>
        <w:rPr>
          <w:rFonts w:ascii="Times New Roman" w:hAnsi="Times New Roman" w:eastAsia="宋体"/>
        </w:rPr>
        <w:t>完成全部内容后，在 Word 中按 Ctrl+A，再按 F9 更新目录、页码和题注域；随后检查表格是否跨页、图片是否清晰、标题是否孤立在页末。</w:t>
      </w:r>
    </w:p>
    <w:p>
      <w:pPr>
        <w:pStyle w:val="Heading2"/>
      </w:pPr>
      <w:r>
        <w:t>版本修订记录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tblHeader w:val="true"/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版本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日期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修订内容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修订人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对应代码版本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V0.1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【日期】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建立参赛文档框架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【姓名】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【commit】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V0.2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【日期】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【填写主要修订】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【姓名】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【commit】</w:t>
            </w:r>
          </w:p>
        </w:tc>
      </w:tr>
      <w:tr>
        <w:trPr>
          <w:cantSplit/>
        </w:trPr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V1.0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【日期】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提交版定稿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【姓名】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【release tag】</w:t>
            </w:r>
          </w:p>
        </w:tc>
      </w:tr>
    </w:tbl>
    <w:p>
      <w:pPr>
        <w:spacing w:after="0"/>
      </w:pPr>
    </w:p>
    <w:p>
      <w:pPr>
        <w:pStyle w:val="Heading2"/>
      </w:pPr>
      <w:r>
        <w:t>材料真实性声明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12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21"/>
              </w:rPr>
              <w:t>【待填写】真实性与合规声明</w:t>
            </w:r>
          </w:p>
          <w:p>
            <w:pPr>
              <w:keepNext w:val="0"/>
              <w:widowControl/>
              <w:spacing w:before="0" w:after="0" w:line="312" w:lineRule="auto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说明数据来源、授权情况、个人信息脱敏方式、测试结果生成方式，以及文档中“目标值”“待测值”“实测值”的区分原则。建议由负责人最终核对。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摘　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12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21"/>
              </w:rPr>
              <w:t>【待填写】项目摘要（建议800～1200字）</w:t>
            </w:r>
          </w:p>
          <w:p>
            <w:pPr>
              <w:keepNext w:val="0"/>
              <w:widowControl/>
              <w:spacing w:before="0" w:after="0" w:line="312" w:lineRule="auto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按“问题—场景—方案—三项创新—实际系统—测试结果—价值”顺序撰写。首段说明中医药资格考试培训的专业性、容错率和个性化需求；末段必须填写三项核心指标的真实结果，不得以目标值替代实测值。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spacing w:after="0"/>
      </w:pPr>
    </w:p>
    <w:p>
      <w:pPr>
        <w:keepNext w:val="0"/>
        <w:spacing w:before="0" w:after="80" w:line="360" w:lineRule="auto"/>
      </w:pPr>
      <w:r>
        <w:rPr>
          <w:rFonts w:ascii="Times New Roman" w:hAnsi="Times New Roman" w:eastAsia="宋体"/>
        </w:rPr>
        <w:t>关键词：多智能体协同；中医药教育；个性化学习；知识溯源；动态学习路径；大模型幻觉防控</w:t>
      </w:r>
    </w:p>
    <w:p>
      <w:pPr>
        <w:pStyle w:val="Heading2"/>
      </w:pPr>
      <w:r>
        <w:t>核心成果一览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2967"/>
        <w:gridCol w:w="2967"/>
        <w:gridCol w:w="2967"/>
      </w:tblGrid>
      <w:tr>
        <w:trPr>
          <w:tblHeader w:val="true"/>
          <w:cantSplit/>
        </w:trP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类别</w:t>
            </w:r>
          </w:p>
        </w:tc>
        <w:tc>
          <w:tcPr>
            <w:tcW w:type="dxa" w:w="4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成果摘要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验证证据</w:t>
            </w:r>
          </w:p>
        </w:tc>
      </w:tr>
      <w:tr>
        <w:trPr>
          <w:cantSplit/>
        </w:trP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完整闭环</w:t>
            </w:r>
          </w:p>
        </w:tc>
        <w:tc>
          <w:tcPr>
            <w:tcW w:type="dxa" w:w="4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画像→诊断→规划→检索→生成→审核→学习→写回→重规划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【页面/执行快照/用例编号】</w:t>
            </w:r>
          </w:p>
        </w:tc>
      </w:tr>
      <w:tr>
        <w:trPr>
          <w:cantSplit/>
        </w:trP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多智能体</w:t>
            </w:r>
          </w:p>
        </w:tc>
        <w:tc>
          <w:tcPr>
            <w:tcW w:type="dxa" w:w="4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六个产品智能体，确定性服务不伪装成智能体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【代码路径/轨迹截图】</w:t>
            </w:r>
          </w:p>
        </w:tc>
      </w:tr>
      <w:tr>
        <w:trPr>
          <w:cantSplit/>
        </w:trP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资源形态</w:t>
            </w:r>
          </w:p>
        </w:tc>
        <w:tc>
          <w:tcPr>
            <w:tcW w:type="dxa" w:w="4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知识卡、证据化讲解、分阶题目、智能组卷、学习计划等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【资源样例编号】</w:t>
            </w:r>
          </w:p>
        </w:tc>
      </w:tr>
      <w:tr>
        <w:trPr>
          <w:cantSplit/>
        </w:trP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专业知识谬误率</w:t>
            </w:r>
          </w:p>
        </w:tc>
        <w:tc>
          <w:tcPr>
            <w:tcW w:type="dxa" w:w="4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目标 &lt;5%；实测【填写】；样本量【填写】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【报告文件】</w:t>
            </w:r>
          </w:p>
        </w:tc>
      </w:tr>
      <w:tr>
        <w:trPr>
          <w:cantSplit/>
        </w:trP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画像—难度适配度</w:t>
            </w:r>
          </w:p>
        </w:tc>
        <w:tc>
          <w:tcPr>
            <w:tcW w:type="dxa" w:w="4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目标 ≥85%；实测【填写】；样本量【填写】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【报告文件】</w:t>
            </w:r>
          </w:p>
        </w:tc>
      </w:tr>
      <w:tr>
        <w:trPr>
          <w:cantSplit/>
        </w:trP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核心知识点覆盖率</w:t>
            </w:r>
          </w:p>
        </w:tc>
        <w:tc>
          <w:tcPr>
            <w:tcW w:type="dxa" w:w="4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目标 ≥90%；实测【填写】；口径【填写】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【报告文件】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目　录</w:t>
      </w:r>
    </w:p>
    <w:p>
      <w:pPr>
        <w:jc w:val="left"/>
      </w:pPr>
      <w:r>
        <w:fldChar w:fldCharType="begin"/>
        <w:instrText xml:space="preserve"> TOC \o "1-3" \h \z \u </w:instrText>
        <w:fldChar w:fldCharType="separate"/>
        <w:t>请在 Word 中右键选择“更新域”，或按 Ctrl+A、F9 更新目录。</w:t>
        <w:fldChar w:fldCharType="end"/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00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19"/>
              </w:rPr>
              <w:t>说明：</w:t>
            </w: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目录建议显示三级标题。正文中不要手工输入页码；章节标题必须使用“标题1/标题2/标题3”样式。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赛题要求—作品证据快速索引</w:t>
      </w:r>
    </w:p>
    <w:p>
      <w:pPr>
        <w:keepNext w:val="0"/>
        <w:spacing w:before="0" w:after="80" w:line="360" w:lineRule="auto"/>
        <w:ind w:firstLine="420"/>
      </w:pPr>
      <w:r>
        <w:rPr>
          <w:rFonts w:ascii="Times New Roman" w:hAnsi="Times New Roman" w:eastAsia="宋体"/>
        </w:rPr>
        <w:t>本表用于帮助评委快速定位赛题要求、项目能力与验证证据。提交前应逐项填写，确保每一项都能被界面、数据、代码或测试报告证明。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tblHeader w:val="true"/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赛题要求/评分点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项目响应</w:t>
            </w:r>
          </w:p>
        </w:tc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正文位置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演示时间点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证据或附件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完整闭环（30分）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【概括画像到动态更新全流程】</w:t>
            </w:r>
          </w:p>
        </w:tc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第2、5章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【mm:ss】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【快照/截图】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至少3个明确分工智能体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六个产品智能体</w:t>
            </w:r>
          </w:p>
        </w:tc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第4章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【mm:ss】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【执行轨迹】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至少3种个性化资源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【列出实际形态】</w:t>
            </w:r>
          </w:p>
        </w:tc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第5章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【mm:ss】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【资源样例】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学情与匹配可视化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【雷达/薄弱点/路径/难度】</w:t>
            </w:r>
          </w:p>
        </w:tc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第6章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【mm:ss】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【页面截图】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交互反馈与动态迭代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【作答写回/用户纠偏/重规划】</w:t>
            </w:r>
          </w:p>
        </w:tc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第5章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【mm:ss】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【前后对比】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幻觉防控和知识溯源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【证据绑定/审核门禁/局部修复】</w:t>
            </w:r>
          </w:p>
        </w:tc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第4、7章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【mm:ss】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【声明证据样例】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专业知识谬误率&lt;5%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实测【填写】</w:t>
            </w:r>
          </w:p>
        </w:tc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第8章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【mm:ss】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【评测报告】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画像适配度≥85%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实测【填写】</w:t>
            </w:r>
          </w:p>
        </w:tc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第8章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【mm:ss】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【评测报告】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知识点覆盖率≥90%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实测【填写】</w:t>
            </w:r>
          </w:p>
        </w:tc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第8章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【mm:ss】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【评测报告】</w:t>
            </w:r>
          </w:p>
        </w:tc>
      </w:tr>
      <w:tr>
        <w:trPr>
          <w:cantSplit/>
        </w:trPr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部署、源码与单元测试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【部署方式/测试基线】</w:t>
            </w:r>
          </w:p>
        </w:tc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第9章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—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【仓库/说明】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第一章　赛题理解与作品定位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4451"/>
        <w:gridCol w:w="4451"/>
      </w:tblGrid>
      <w:tr>
        <w:trPr>
          <w:tblHeader w:val="true"/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对应评分项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完整性、创新性与实用价值的总入口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本章目标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在最短篇幅内回答“为什么做、做了什么、如何满足赛题、核心价值是什么”。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建议证据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赛题响应矩阵、作品定位、量化目标、版本边界。</w:t>
            </w:r>
          </w:p>
        </w:tc>
      </w:tr>
    </w:tbl>
    <w:p>
      <w:pPr>
        <w:spacing w:after="0"/>
      </w:pPr>
    </w:p>
    <w:p>
      <w:pPr>
        <w:pStyle w:val="Heading2"/>
      </w:pPr>
      <w:r>
        <w:t>1.1 赛题背景与核心矛盾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12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21"/>
              </w:rPr>
              <w:t>【待填写】赛题背景</w:t>
            </w:r>
          </w:p>
          <w:p>
            <w:pPr>
              <w:keepNext w:val="0"/>
              <w:widowControl/>
              <w:spacing w:before="0" w:after="0" w:line="312" w:lineRule="auto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结合发榜文件，说明大模型从通用聊天工具转向专业教育基础设施所面临的挑战。不要大段复述赛题原文，应落到本项目选择中医药资格考试的理由。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spacing w:after="0"/>
      </w:pPr>
    </w:p>
    <w:p>
      <w:pPr>
        <w:pStyle w:val="Heading2"/>
      </w:pPr>
      <w:r>
        <w:t>1.2 垂直领域选择与真实痛点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2225"/>
        <w:gridCol w:w="2225"/>
        <w:gridCol w:w="2225"/>
        <w:gridCol w:w="2225"/>
      </w:tblGrid>
      <w:tr>
        <w:trPr>
          <w:tblHeader w:val="true"/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痛点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具体表现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传统方案局限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本项目对应机制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专业内容不可信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【填写中医知识错误风险】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【填写】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证据约束、审核门禁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个性化与专业性冲突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【填写不同背景学习者差异】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【填写】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学情诊断、资源适配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计划不能持续执行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【填写时间与掌握度变化】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【填写】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多尺度规划、自动重规划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用户无法纠正系统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【填写错误画像固化问题】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【填写】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推荐解释、用户纠偏写回</w:t>
            </w:r>
          </w:p>
        </w:tc>
      </w:tr>
    </w:tbl>
    <w:p>
      <w:pPr>
        <w:spacing w:after="0"/>
      </w:pPr>
    </w:p>
    <w:p>
      <w:pPr>
        <w:pStyle w:val="Heading2"/>
      </w:pPr>
      <w:r>
        <w:t>1.3 作品定位与目标用户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12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21"/>
              </w:rPr>
              <w:t>【待填写】一句话作品定位</w:t>
            </w:r>
          </w:p>
          <w:p>
            <w:pPr>
              <w:keepNext w:val="0"/>
              <w:widowControl/>
              <w:spacing w:before="0" w:after="0" w:line="312" w:lineRule="auto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建议使用：“时珍智训是一套……系统，通过……实现……”。控制在100字以内。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12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21"/>
              </w:rPr>
              <w:t>【待填写】目标用户</w:t>
            </w:r>
          </w:p>
          <w:p>
            <w:pPr>
              <w:keepNext w:val="0"/>
              <w:widowControl/>
              <w:spacing w:before="0" w:after="0" w:line="312" w:lineRule="auto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说明五类资格考试路径、不同专业背景和不同可用时间的学习者；说明培训管理者是否属于辅助用户。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spacing w:after="0"/>
      </w:pPr>
    </w:p>
    <w:p>
      <w:pPr>
        <w:pStyle w:val="Heading2"/>
      </w:pPr>
      <w:r>
        <w:t>1.4 项目总体目标与量化指标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tblHeader w:val="true"/>
          <w:cantSplit/>
        </w:trPr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目标层级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指标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赛题目标/项目目标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当前实测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证据位置</w:t>
            </w:r>
          </w:p>
        </w:tc>
      </w:tr>
      <w:tr>
        <w:trPr>
          <w:cantSplit/>
        </w:trPr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专业可信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专业知识谬误率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&lt;5%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【填写，未测写“待测”】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【报告】</w:t>
            </w:r>
          </w:p>
        </w:tc>
      </w:tr>
      <w:tr>
        <w:trPr>
          <w:cantSplit/>
        </w:trPr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个性适配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画像—资源难度适配准确率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≥85%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【填写】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【报告】</w:t>
            </w:r>
          </w:p>
        </w:tc>
      </w:tr>
      <w:tr>
        <w:trPr>
          <w:cantSplit/>
        </w:trPr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知识完整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核心知识点覆盖率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≥90%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【填写】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【报告】</w:t>
            </w:r>
          </w:p>
        </w:tc>
      </w:tr>
      <w:tr>
        <w:trPr>
          <w:cantSplit/>
        </w:trPr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过程可信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声明级证据可追溯率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【项目目标】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【填写】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【报告】</w:t>
            </w:r>
          </w:p>
        </w:tc>
      </w:tr>
      <w:tr>
        <w:trPr>
          <w:cantSplit/>
        </w:trPr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工程可用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核心闭环成功率/部署验证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【项目目标】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【填写】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【报告】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00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19"/>
              </w:rPr>
              <w:t>注意：</w:t>
            </w: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“赛题目标”与“当前实测”必须分列。没有完成的测试写“待测”，不要把目标值写成项目结果。</w:t>
            </w:r>
          </w:p>
        </w:tc>
      </w:tr>
    </w:tbl>
    <w:p>
      <w:pPr>
        <w:spacing w:after="0"/>
      </w:pPr>
    </w:p>
    <w:p>
      <w:pPr>
        <w:pStyle w:val="Heading2"/>
      </w:pPr>
      <w:r>
        <w:t>1.5 赛题要求响应概览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12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21"/>
              </w:rPr>
              <w:t>【待填写】赛题要求响应总结</w:t>
            </w:r>
          </w:p>
          <w:p>
            <w:pPr>
              <w:keepNext w:val="0"/>
              <w:widowControl/>
              <w:spacing w:before="0" w:after="0" w:line="312" w:lineRule="auto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用一页总结作品完整性、技术创新性、用户体验、实用价值四项评分点。避免重复快速索引表，重点说明为什么项目已经形成系统而不是功能集合。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第二章　贯穿场景与总体解决方案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4451"/>
        <w:gridCol w:w="4451"/>
      </w:tblGrid>
      <w:tr>
        <w:trPr>
          <w:tblHeader w:val="true"/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对应评分项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作品完整性30分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本章目标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通过一个可演示、可复现的学习场景串联所有能力，使评委看到完整业务闭环。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建议证据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场景人物、初始画像、输入输出、业务闭环图、三个层面的方案价值。</w:t>
            </w:r>
          </w:p>
        </w:tc>
      </w:tr>
    </w:tbl>
    <w:p>
      <w:pPr>
        <w:spacing w:after="0"/>
      </w:pPr>
    </w:p>
    <w:p>
      <w:pPr>
        <w:pStyle w:val="Heading2"/>
      </w:pPr>
      <w:r>
        <w:t>2.1 贯穿场景定义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12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21"/>
              </w:rPr>
              <w:t>【待填写】场景摘要</w:t>
            </w:r>
          </w:p>
          <w:p>
            <w:pPr>
              <w:keepNext w:val="0"/>
              <w:widowControl/>
              <w:spacing w:before="0" w:after="0" w:line="312" w:lineRule="auto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建议采用“足三里定位、主治与操作禁忌连续答错；距考试30天；学习时间由60分钟变为20分钟”的场景。填写用户目标、行为背景和期望结果。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2967"/>
        <w:gridCol w:w="2967"/>
        <w:gridCol w:w="2967"/>
      </w:tblGrid>
      <w:tr>
        <w:trPr>
          <w:tblHeader w:val="true"/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场景要素</w:t>
            </w:r>
          </w:p>
        </w:tc>
        <w:tc>
          <w:tcPr>
            <w:tcW w:type="dxa" w:w="430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具体内容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数据来源/证据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学习者身份</w:t>
            </w:r>
          </w:p>
        </w:tc>
        <w:tc>
          <w:tcPr>
            <w:tcW w:type="dxa" w:w="430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【填写】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【画像ID/样例文件】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考试目标</w:t>
            </w:r>
          </w:p>
        </w:tc>
        <w:tc>
          <w:tcPr>
            <w:tcW w:type="dxa" w:w="430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【填写】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【考试路径】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当前薄弱点</w:t>
            </w:r>
          </w:p>
        </w:tc>
        <w:tc>
          <w:tcPr>
            <w:tcW w:type="dxa" w:w="430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【填写】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【作答记录/诊断快照】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可用时间</w:t>
            </w:r>
          </w:p>
        </w:tc>
        <w:tc>
          <w:tcPr>
            <w:tcW w:type="dxa" w:w="430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初始【】分钟；变化后【】分钟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【用户输入/画像】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期望资源</w:t>
            </w:r>
          </w:p>
        </w:tc>
        <w:tc>
          <w:tcPr>
            <w:tcW w:type="dxa" w:w="430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【讲解、知识卡、变式题、复习任务等】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【输出样例】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预期闭环</w:t>
            </w:r>
          </w:p>
        </w:tc>
        <w:tc>
          <w:tcPr>
            <w:tcW w:type="dxa" w:w="430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【完成后掌握度、复习队列、计划如何变化】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【前后状态】</w:t>
            </w:r>
          </w:p>
        </w:tc>
      </w:tr>
    </w:tbl>
    <w:p>
      <w:pPr>
        <w:spacing w:after="0"/>
      </w:pPr>
    </w:p>
    <w:p>
      <w:pPr>
        <w:pStyle w:val="Heading2"/>
      </w:pPr>
      <w:r>
        <w:t>2.2 差异化学习者画像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1272"/>
        <w:gridCol w:w="1272"/>
        <w:gridCol w:w="1272"/>
        <w:gridCol w:w="1272"/>
        <w:gridCol w:w="1272"/>
        <w:gridCol w:w="1272"/>
        <w:gridCol w:w="1272"/>
      </w:tblGrid>
      <w:tr>
        <w:trPr>
          <w:tblHeader w:val="true"/>
          <w:cantSplit/>
        </w:trPr>
        <w:tc>
          <w:tcPr>
            <w:tcW w:type="dxa" w:w="7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画像组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背景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目标</w:t>
            </w:r>
          </w:p>
        </w:tc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初始掌握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可用时间</w:t>
            </w:r>
          </w:p>
        </w:tc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资源偏好</w:t>
            </w:r>
          </w:p>
        </w:tc>
        <w:tc>
          <w:tcPr>
            <w:tcW w:type="dxa" w:w="107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预期难度</w:t>
            </w:r>
          </w:p>
        </w:tc>
      </w:tr>
      <w:tr>
        <w:trPr>
          <w:cantSplit/>
        </w:trPr>
        <w:tc>
          <w:tcPr>
            <w:tcW w:type="dxa" w:w="7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P1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中医药专业零基础学生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【填写】</w:t>
            </w:r>
          </w:p>
        </w:tc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【填写】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【填写】</w:t>
            </w:r>
          </w:p>
        </w:tc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【填写】</w:t>
            </w:r>
          </w:p>
        </w:tc>
        <w:tc>
          <w:tcPr>
            <w:tcW w:type="dxa" w:w="107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低—中</w:t>
            </w:r>
          </w:p>
        </w:tc>
      </w:tr>
      <w:tr>
        <w:trPr>
          <w:cantSplit/>
        </w:trPr>
        <w:tc>
          <w:tcPr>
            <w:tcW w:type="dxa" w:w="7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P2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跨专业在职备考者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【填写】</w:t>
            </w:r>
          </w:p>
        </w:tc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【填写】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【填写】</w:t>
            </w:r>
          </w:p>
        </w:tc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【填写】</w:t>
            </w:r>
          </w:p>
        </w:tc>
        <w:tc>
          <w:tcPr>
            <w:tcW w:type="dxa" w:w="107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中—高</w:t>
            </w:r>
          </w:p>
        </w:tc>
      </w:tr>
      <w:tr>
        <w:trPr>
          <w:cantSplit/>
        </w:trPr>
        <w:tc>
          <w:tcPr>
            <w:tcW w:type="dxa" w:w="73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P3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临床从业者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【填写】</w:t>
            </w:r>
          </w:p>
        </w:tc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【填写】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【填写】</w:t>
            </w:r>
          </w:p>
        </w:tc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【填写】</w:t>
            </w:r>
          </w:p>
        </w:tc>
        <w:tc>
          <w:tcPr>
            <w:tcW w:type="dxa" w:w="107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高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12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21"/>
              </w:rPr>
              <w:t>【待填写】差异化输出比较</w:t>
            </w:r>
          </w:p>
          <w:p>
            <w:pPr>
              <w:keepNext w:val="0"/>
              <w:widowControl/>
              <w:spacing w:before="0" w:after="0" w:line="312" w:lineRule="auto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说明同一个知识点面对三组画像时，术语、前置知识、内容密度、资源形态和题目难度如何不同。插入至少三份并排结果摘要。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spacing w:after="0"/>
      </w:pPr>
    </w:p>
    <w:p>
      <w:pPr>
        <w:pStyle w:val="Heading2"/>
      </w:pPr>
      <w:r>
        <w:t>2.3 端到端学习闭环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288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26"/>
              </w:rPr>
              <w:t>【插入图/截图】</w:t>
            </w:r>
          </w:p>
          <w:p>
            <w:pPr>
              <w:keepNext w:val="0"/>
              <w:widowControl/>
              <w:spacing w:before="0" w:after="0" w:line="312" w:lineRule="auto"/>
              <w:jc w:val="center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建议绘制：画像→学情诊断→路径规划→证据检索→专家生成→审核门禁→学习训练→行为采集→掌握度/复习写回→下一轮规划。用不同颜色区分AI节点、确定性服务和用户动作。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keepNext w:val="0"/>
        <w:spacing w:before="80" w:after="160" w:line="240" w:lineRule="auto"/>
        <w:jc w:val="center"/>
      </w:pPr>
      <w:r>
        <w:rPr>
          <w:rFonts w:ascii="Times New Roman" w:hAnsi="Times New Roman" w:eastAsia="黑体"/>
          <w:color w:val="1F2937"/>
          <w:sz w:val="19"/>
        </w:rPr>
        <w:t>图2-1　“画像—协同—生成—反馈—更新”端到端闭环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12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21"/>
              </w:rPr>
              <w:t>【待填写】闭环说明</w:t>
            </w:r>
          </w:p>
          <w:p>
            <w:pPr>
              <w:keepNext w:val="0"/>
              <w:widowControl/>
              <w:spacing w:before="0" w:after="0" w:line="312" w:lineRule="auto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逐步说明每个环节的输入、处理、输出和可见证据。必须写清最终学习行为如何真实影响下一轮决策。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spacing w:after="0"/>
      </w:pPr>
    </w:p>
    <w:p>
      <w:pPr>
        <w:pStyle w:val="Heading2"/>
      </w:pPr>
      <w:r>
        <w:t>2.4 三层总体解决方案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tblHeader w:val="true"/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层面</w:t>
            </w:r>
          </w:p>
        </w:tc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决策主体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核心问题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关键机制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直接价值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AI执行层</w:t>
            </w:r>
          </w:p>
        </w:tc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多智能体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专业回答不可信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证据绑定、审核门禁、局部修复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专业结论有据可查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学习规划层</w:t>
            </w:r>
          </w:p>
        </w:tc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系统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客观变化导致计划不可执行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多尺度规划、硬约束、自动重规划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任务始终可执行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人机交互层</w:t>
            </w:r>
          </w:p>
        </w:tc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学习者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系统判断不可理解、不可纠正</w:t>
            </w:r>
          </w:p>
        </w:tc>
        <w:tc>
          <w:tcPr>
            <w:tcW w:type="dxa" w:w="26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理由展示、用户纠偏、反馈写回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决策可理解可修正</w:t>
            </w:r>
          </w:p>
        </w:tc>
      </w:tr>
    </w:tbl>
    <w:p>
      <w:pPr>
        <w:spacing w:after="0"/>
      </w:pPr>
    </w:p>
    <w:p>
      <w:pPr>
        <w:pStyle w:val="Heading2"/>
      </w:pPr>
      <w:r>
        <w:t>2.5 核心业务流程分解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tblHeader w:val="true"/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步骤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输入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处理主体</w:t>
            </w:r>
          </w:p>
        </w:tc>
        <w:tc>
          <w:tcPr>
            <w:tcW w:type="dxa" w:w="20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输出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可观测证据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1 画像建立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注册调查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画像服务/记忆智能体</w:t>
            </w:r>
          </w:p>
        </w:tc>
        <w:tc>
          <w:tcPr>
            <w:tcW w:type="dxa" w:w="20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初始画像和记忆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【截图】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2 学情诊断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多尺度快照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诊断智能体</w:t>
            </w:r>
          </w:p>
        </w:tc>
        <w:tc>
          <w:tcPr>
            <w:tcW w:type="dxa" w:w="20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薄弱点与策略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【快照】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3 规划生成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画像、路线、诊断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诊断/规划服务</w:t>
            </w:r>
          </w:p>
        </w:tc>
        <w:tc>
          <w:tcPr>
            <w:tcW w:type="dxa" w:w="20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长期短期当日计划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【路径图】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4 资源生成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任务、证据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知识库/专家/审核</w:t>
            </w:r>
          </w:p>
        </w:tc>
        <w:tc>
          <w:tcPr>
            <w:tcW w:type="dxa" w:w="20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审核通过资源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【执行轨迹】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5 学习训练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资源和题目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学习工坊</w:t>
            </w:r>
          </w:p>
        </w:tc>
        <w:tc>
          <w:tcPr>
            <w:tcW w:type="dxa" w:w="20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作答与完成记录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【记录】</w:t>
            </w:r>
          </w:p>
        </w:tc>
      </w:tr>
      <w:tr>
        <w:trPr>
          <w:cantSplit/>
        </w:trPr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6 动态更新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行为、批改、反馈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写回/调度/计划复盘</w:t>
            </w:r>
          </w:p>
        </w:tc>
        <w:tc>
          <w:tcPr>
            <w:tcW w:type="dxa" w:w="20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掌握度、复习和新计划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【前后对比】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第三章　系统总体架构与数据闭环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4451"/>
        <w:gridCol w:w="4451"/>
      </w:tblGrid>
      <w:tr>
        <w:trPr>
          <w:tblHeader w:val="true"/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对应评分项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完整性、可部署性、合规性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本章目标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证明作品是可运行系统，架构描述必须与提交代码和部署方式一致。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建议证据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系统架构图、分层边界、数据流、数据权限与运行恢复机制。</w:t>
            </w:r>
          </w:p>
        </w:tc>
      </w:tr>
    </w:tbl>
    <w:p>
      <w:pPr>
        <w:spacing w:after="0"/>
      </w:pPr>
    </w:p>
    <w:p>
      <w:pPr>
        <w:pStyle w:val="Heading2"/>
      </w:pPr>
      <w:r>
        <w:t>3.1 架构设计原则</w:t>
      </w:r>
    </w:p>
    <w:p>
      <w:pPr>
        <w:pStyle w:val="ListBullet"/>
        <w:keepNext w:val="0"/>
        <w:spacing w:before="0" w:after="40" w:line="324" w:lineRule="auto"/>
      </w:pPr>
      <w:r>
        <w:rPr>
          <w:rFonts w:ascii="Times New Roman" w:hAnsi="Times New Roman" w:eastAsia="宋体"/>
        </w:rPr>
        <w:t>模拟真实业务分工，不以单模型承担全部职责。</w:t>
      </w:r>
    </w:p>
    <w:p>
      <w:pPr>
        <w:pStyle w:val="ListBullet"/>
        <w:keepNext w:val="0"/>
        <w:spacing w:before="0" w:after="40" w:line="324" w:lineRule="auto"/>
      </w:pPr>
      <w:r>
        <w:rPr>
          <w:rFonts w:ascii="Times New Roman" w:hAnsi="Times New Roman" w:eastAsia="宋体"/>
        </w:rPr>
        <w:t>模型负责语义理解和弹性判断，确定性算法负责硬约束与底线。</w:t>
      </w:r>
    </w:p>
    <w:p>
      <w:pPr>
        <w:pStyle w:val="ListBullet"/>
        <w:keepNext w:val="0"/>
        <w:spacing w:before="0" w:after="40" w:line="324" w:lineRule="auto"/>
      </w:pPr>
      <w:r>
        <w:rPr>
          <w:rFonts w:ascii="Times New Roman" w:hAnsi="Times New Roman" w:eastAsia="宋体"/>
        </w:rPr>
        <w:t>智能体、确定性服务和数据资产边界清晰。</w:t>
      </w:r>
    </w:p>
    <w:p>
      <w:pPr>
        <w:pStyle w:val="ListBullet"/>
        <w:keepNext w:val="0"/>
        <w:spacing w:before="0" w:after="40" w:line="324" w:lineRule="auto"/>
      </w:pPr>
      <w:r>
        <w:rPr>
          <w:rFonts w:ascii="Times New Roman" w:hAnsi="Times New Roman" w:eastAsia="宋体"/>
        </w:rPr>
        <w:t>统一契约、全程可观测、结果可追溯。</w:t>
      </w:r>
    </w:p>
    <w:p>
      <w:pPr>
        <w:pStyle w:val="ListBullet"/>
        <w:keepNext w:val="0"/>
        <w:spacing w:before="0" w:after="40" w:line="324" w:lineRule="auto"/>
      </w:pPr>
      <w:r>
        <w:rPr>
          <w:rFonts w:ascii="Times New Roman" w:hAnsi="Times New Roman" w:eastAsia="宋体"/>
        </w:rPr>
        <w:t>模块化单体优先，先保证闭环可运行再扩展。</w:t>
      </w:r>
    </w:p>
    <w:p>
      <w:pPr>
        <w:pStyle w:val="Heading2"/>
      </w:pPr>
      <w:r>
        <w:t>3.2 系统部署架构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288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26"/>
              </w:rPr>
              <w:t>【插入图/截图】</w:t>
            </w:r>
          </w:p>
          <w:p>
            <w:pPr>
              <w:keepNext w:val="0"/>
              <w:widowControl/>
              <w:spacing w:before="0" w:after="0" w:line="312" w:lineRule="auto"/>
              <w:jc w:val="center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依据实际项目绘制：Browser → React/Vite → FastAPI competition_app（/api/v1、SSE、LangGraph）→ 内挂 platform_backend（/api）→ MySQL/知识资产/向量索引。不要画不存在的微服务。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keepNext w:val="0"/>
        <w:spacing w:before="80" w:after="160" w:line="240" w:lineRule="auto"/>
        <w:jc w:val="center"/>
      </w:pPr>
      <w:r>
        <w:rPr>
          <w:rFonts w:ascii="Times New Roman" w:hAnsi="Times New Roman" w:eastAsia="黑体"/>
          <w:color w:val="1F2937"/>
          <w:sz w:val="19"/>
        </w:rPr>
        <w:t>图3-1　系统部署架构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12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21"/>
              </w:rPr>
              <w:t>【待填写】运行边界说明</w:t>
            </w:r>
          </w:p>
          <w:p>
            <w:pPr>
              <w:keepNext w:val="0"/>
              <w:widowControl/>
              <w:spacing w:before="0" w:after="0" w:line="312" w:lineRule="auto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说明正式前端与接口同源托管、主应用接口与兼容接口边界、Stub/Live两种模式，以及数据库和外部资产依赖。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spacing w:after="0"/>
      </w:pPr>
    </w:p>
    <w:p>
      <w:pPr>
        <w:pStyle w:val="Heading2"/>
      </w:pPr>
      <w:r>
        <w:t>3.3 五层逻辑架构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288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26"/>
              </w:rPr>
              <w:t>【插入图/截图】</w:t>
            </w:r>
          </w:p>
          <w:p>
            <w:pPr>
              <w:keepNext w:val="0"/>
              <w:widowControl/>
              <w:spacing w:before="0" w:after="0" w:line="312" w:lineRule="auto"/>
              <w:jc w:val="center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从上到下：体验与交互层、智能体协同层、确定性业务服务层、知识与检索层、数据与运行基础层。每层只列核心组件。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keepNext w:val="0"/>
        <w:spacing w:before="80" w:after="160" w:line="240" w:lineRule="auto"/>
        <w:jc w:val="center"/>
      </w:pPr>
      <w:r>
        <w:rPr>
          <w:rFonts w:ascii="Times New Roman" w:hAnsi="Times New Roman" w:eastAsia="黑体"/>
          <w:color w:val="1F2937"/>
          <w:sz w:val="19"/>
        </w:rPr>
        <w:t>图3-2　五层逻辑架构</w:t>
      </w:r>
    </w:p>
    <w:p>
      <w:pPr>
        <w:pStyle w:val="Heading2"/>
      </w:pPr>
      <w:r>
        <w:t>3.4 核心数据对象与流转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tblHeader w:val="true"/>
          <w:cantSplit/>
        </w:trPr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数据对象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产生方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主要内容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消费方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持久化位置</w:t>
            </w:r>
          </w:p>
        </w:tc>
      </w:tr>
      <w:tr>
        <w:trPr>
          <w:cantSplit/>
        </w:trPr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用户画像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注册/用户纠偏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背景、目标、时间、偏好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诊断、路线、规划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【填写】</w:t>
            </w:r>
          </w:p>
        </w:tc>
      </w:tr>
      <w:tr>
        <w:trPr>
          <w:cantSplit/>
        </w:trPr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多尺度学情快照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监控服务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宏观/中观/微观证据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诊断、规划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【填写】</w:t>
            </w:r>
          </w:p>
        </w:tc>
      </w:tr>
      <w:tr>
        <w:trPr>
          <w:cantSplit/>
        </w:trPr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规划契约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规划编译器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长期/短期/当日计划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路径、执行服务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【填写】</w:t>
            </w:r>
          </w:p>
        </w:tc>
      </w:tr>
      <w:tr>
        <w:trPr>
          <w:cantSplit/>
        </w:trPr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EvidencePack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知识库智能体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教材/题库证据及ID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专家、审核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【填写】</w:t>
            </w:r>
          </w:p>
        </w:tc>
      </w:tr>
      <w:tr>
        <w:trPr>
          <w:cantSplit/>
        </w:trPr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ResourceDraft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专家智能体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正文、声明、证据引用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审核裁判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【填写】</w:t>
            </w:r>
          </w:p>
        </w:tc>
      </w:tr>
      <w:tr>
        <w:trPr>
          <w:cantSplit/>
        </w:trPr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AuditResult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审核裁判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决策、问题、置信度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发布/修复/人工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【填写】</w:t>
            </w:r>
          </w:p>
        </w:tc>
      </w:tr>
      <w:tr>
        <w:trPr>
          <w:cantSplit/>
        </w:trPr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复习记忆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写回和调度服务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掌握度、稳定期、到期时间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诊断、规划、复习页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【填写】</w:t>
            </w:r>
          </w:p>
        </w:tc>
      </w:tr>
    </w:tbl>
    <w:p>
      <w:pPr>
        <w:spacing w:after="0"/>
      </w:pPr>
    </w:p>
    <w:p>
      <w:pPr>
        <w:pStyle w:val="Heading2"/>
      </w:pPr>
      <w:r>
        <w:t>3.5 公共资产与用户运行数据边界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tblHeader w:val="true"/>
          <w:cantSplit/>
        </w:trPr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数据类别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典型内容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读写属性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隔离策略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备份/版本策略</w:t>
            </w:r>
          </w:p>
        </w:tc>
      </w:tr>
      <w:tr>
        <w:trPr>
          <w:cantSplit/>
        </w:trPr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公共知识资产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教材、题库、视频、向量索引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只读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全体授权用户共享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Manifest/版本发布</w:t>
            </w:r>
          </w:p>
        </w:tc>
      </w:tr>
      <w:tr>
        <w:trPr>
          <w:cantSplit/>
        </w:trPr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用户运行数据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画像、作答、掌握、计划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读写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按登录用户隔离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数据库备份</w:t>
            </w:r>
          </w:p>
        </w:tc>
      </w:tr>
      <w:tr>
        <w:trPr>
          <w:cantSplit/>
        </w:trPr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运行状态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LangGraph检查点、执行轨迹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读写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线程和用户绑定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检查点清理/恢复</w:t>
            </w:r>
          </w:p>
        </w:tc>
      </w:tr>
      <w:tr>
        <w:trPr>
          <w:cantSplit/>
        </w:trPr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敏感配置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模型密钥、数据库密码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只读环境变量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不入库不提交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密钥轮换</w:t>
            </w:r>
          </w:p>
        </w:tc>
      </w:tr>
    </w:tbl>
    <w:p>
      <w:pPr>
        <w:spacing w:after="0"/>
      </w:pPr>
    </w:p>
    <w:p>
      <w:pPr>
        <w:pStyle w:val="Heading2"/>
      </w:pPr>
      <w:r>
        <w:t>3.6 数据合规与伦理规范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12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21"/>
              </w:rPr>
              <w:t>【待填写】数据合规说明</w:t>
            </w:r>
          </w:p>
          <w:p>
            <w:pPr>
              <w:keepNext w:val="0"/>
              <w:widowControl/>
              <w:spacing w:before="0" w:after="0" w:line="312" w:lineRule="auto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填写数据授权、脱敏、最小权限、用户隔离、日志保留、密钥管理、测试数据处理和用户知情机制。若使用真实学习数据，应注明授权依据。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spacing w:after="0"/>
      </w:pPr>
    </w:p>
    <w:p>
      <w:pPr>
        <w:pStyle w:val="Heading2"/>
      </w:pPr>
      <w:r>
        <w:t>3.7 可观测性、中断恢复与失败隔离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12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21"/>
              </w:rPr>
              <w:t>【待填写】运行可靠性</w:t>
            </w:r>
          </w:p>
          <w:p>
            <w:pPr>
              <w:keepNext w:val="0"/>
              <w:widowControl/>
              <w:spacing w:before="0" w:after="0" w:line="312" w:lineRule="auto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说明SSE事件、执行轨迹、SQL检查点、中断恢复、失败节点阻塞、终态记录及页面刷新/断线/服务重启后的恢复能力，并附验证用例。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第四章　多智能体可信协同机制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4451"/>
        <w:gridCol w:w="4451"/>
      </w:tblGrid>
      <w:tr>
        <w:trPr>
          <w:tblHeader w:val="true"/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对应评分项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技术创新性25分、完整性30分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本章目标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证明系统不是API堆叠，而是具有角色边界、通信契约、动态编排、交叉验证和局部修复的可信协同系统。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建议证据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角色表、DAG图、交接契约、审核样例、局部修复轨迹。</w:t>
            </w:r>
          </w:p>
        </w:tc>
      </w:tr>
    </w:tbl>
    <w:p>
      <w:pPr>
        <w:spacing w:after="0"/>
      </w:pPr>
    </w:p>
    <w:p>
      <w:pPr>
        <w:pStyle w:val="Heading2"/>
      </w:pPr>
      <w:r>
        <w:t>4.1 六个产品智能体的职责与边界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tblHeader w:val="true"/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智能体</w:t>
            </w:r>
          </w:p>
        </w:tc>
        <w:tc>
          <w:tcPr>
            <w:tcW w:type="dxa" w:w="20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核心职责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关键输入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关键输出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禁止越权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任务规划</w:t>
            </w:r>
          </w:p>
        </w:tc>
        <w:tc>
          <w:tcPr>
            <w:tcW w:type="dxa" w:w="20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语义路由、参与角色选择、DAG编译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用户请求、范围提示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PlannerDecision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不生成专业知识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记忆管理</w:t>
            </w:r>
          </w:p>
        </w:tc>
        <w:tc>
          <w:tcPr>
            <w:tcW w:type="dxa" w:w="20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会话压缩、画像上下文、冲突治理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会话、已确认偏好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MemoryAgentResult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不生成掌握度/计划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学情诊断</w:t>
            </w:r>
          </w:p>
        </w:tc>
        <w:tc>
          <w:tcPr>
            <w:tcW w:type="dxa" w:w="20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薄弱点、风险和规划提案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多尺度快照、画像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DiagnosisResult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不编造证据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知识库管理</w:t>
            </w:r>
          </w:p>
        </w:tc>
        <w:tc>
          <w:tcPr>
            <w:tcW w:type="dxa" w:w="20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检索计划、证据包、题目候选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查询、来源策略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EvidencePack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不负责最终讲解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专家</w:t>
            </w:r>
          </w:p>
        </w:tc>
        <w:tc>
          <w:tcPr>
            <w:tcW w:type="dxa" w:w="20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证据约束下生成资源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证据、诊断、任务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ResourceDraft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无证据不得断言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审核裁判</w:t>
            </w:r>
          </w:p>
        </w:tc>
        <w:tc>
          <w:tcPr>
            <w:tcW w:type="dxa" w:w="20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事实、难度、结构、安全审核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工件、证据、画像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AuditResult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不得绕过门禁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00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19"/>
              </w:rPr>
              <w:t>说明：</w:t>
            </w: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复习调度、计划持久化、约束校验等属于确定性后端服务，不应为了增加数量包装成智能体。</w:t>
            </w:r>
          </w:p>
        </w:tc>
      </w:tr>
    </w:tbl>
    <w:p>
      <w:pPr>
        <w:spacing w:after="0"/>
      </w:pPr>
    </w:p>
    <w:p>
      <w:pPr>
        <w:pStyle w:val="Heading2"/>
      </w:pPr>
      <w:r>
        <w:t>4.2 双层Planner与动态DAG编排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288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26"/>
              </w:rPr>
              <w:t>【插入图/截图】</w:t>
            </w:r>
          </w:p>
          <w:p>
            <w:pPr>
              <w:keepNext w:val="0"/>
              <w:widowControl/>
              <w:spacing w:before="0" w:after="0" w:line="312" w:lineRule="auto"/>
              <w:jc w:val="center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展示：用户请求→LLM语义路由→强制依赖闭包补全→硬约束校验→按任务类型编译DAG→LangGraph执行。可在旁边给出知识讲解、学习规划、复习卡和组卷四种拓扑。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keepNext w:val="0"/>
        <w:spacing w:before="80" w:after="160" w:line="240" w:lineRule="auto"/>
        <w:jc w:val="center"/>
      </w:pPr>
      <w:r>
        <w:rPr>
          <w:rFonts w:ascii="Times New Roman" w:hAnsi="Times New Roman" w:eastAsia="黑体"/>
          <w:color w:val="1F2937"/>
          <w:sz w:val="19"/>
        </w:rPr>
        <w:t>图4-1　双层Planner与动态执行DAG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2225"/>
        <w:gridCol w:w="2225"/>
        <w:gridCol w:w="2225"/>
        <w:gridCol w:w="2225"/>
      </w:tblGrid>
      <w:tr>
        <w:trPr>
          <w:tblHeader w:val="true"/>
          <w:cantSplit/>
        </w:trP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任务类型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实际执行链路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关键约束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演示/证据</w:t>
            </w:r>
          </w:p>
        </w:tc>
      </w:tr>
      <w:tr>
        <w:trPr>
          <w:cantSplit/>
        </w:trP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知识讲解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知识库→专家→审核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无证据不得生成专业声明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【填写】</w:t>
            </w:r>
          </w:p>
        </w:tc>
      </w:tr>
      <w:tr>
        <w:trPr>
          <w:cantSplit/>
        </w:trP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学习规划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记忆→路线解析→诊断→规划服务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不得携带资源生成节点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【填写】</w:t>
            </w:r>
          </w:p>
        </w:tc>
      </w:tr>
      <w:tr>
        <w:trPr>
          <w:cantSplit/>
        </w:trP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个性化复习卡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记忆→知识库→路线→诊断→规划→调度→专家→审核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完整证据与学情约束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【填写】</w:t>
            </w:r>
          </w:p>
        </w:tc>
      </w:tr>
      <w:tr>
        <w:trPr>
          <w:cantSplit/>
        </w:trP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智能组卷</w:t>
            </w:r>
          </w:p>
        </w:tc>
        <w:tc>
          <w:tcPr>
            <w:tcW w:type="dxa" w:w="36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蓝图→候选池→装配→审核</w:t>
            </w:r>
          </w:p>
        </w:tc>
        <w:tc>
          <w:tcPr>
            <w:tcW w:type="dxa" w:w="2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数量、题型、答案、来源等门禁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【填写】</w:t>
            </w:r>
          </w:p>
        </w:tc>
      </w:tr>
    </w:tbl>
    <w:p>
      <w:pPr>
        <w:spacing w:after="0"/>
      </w:pPr>
    </w:p>
    <w:p>
      <w:pPr>
        <w:pStyle w:val="Heading2"/>
      </w:pPr>
      <w:r>
        <w:t>4.3 统一通信契约与最小上下文交接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12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21"/>
              </w:rPr>
              <w:t>【待填写】通信机制</w:t>
            </w:r>
          </w:p>
          <w:p>
            <w:pPr>
              <w:keepNext w:val="0"/>
              <w:widowControl/>
              <w:spacing w:before="0" w:after="0" w:line="312" w:lineRule="auto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说明AgentHandoffBundle只传递下游必需的已确认事实、证据、不确定项、任务约束与缺口；说明认知缺口分析和权限过滤。正文不必展开所有Schema字段。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2225"/>
        <w:gridCol w:w="2225"/>
        <w:gridCol w:w="2225"/>
        <w:gridCol w:w="2225"/>
      </w:tblGrid>
      <w:tr>
        <w:trPr>
          <w:tblHeader w:val="true"/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字段类别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作用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安全/质量价值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confirmed_facts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传递已确认事实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防止下游把推测当事实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【填写】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evidence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引用可追溯证据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支撑声明审计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【填写】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uncertainties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显式记录不确定项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触发澄清或补检索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【填写】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downstream_needs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声明下游必需信息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识别认知缺口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【填写】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omitted_categories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记录省略数据类别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权限审计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【填写】</w:t>
            </w:r>
          </w:p>
        </w:tc>
      </w:tr>
    </w:tbl>
    <w:p>
      <w:pPr>
        <w:spacing w:after="0"/>
      </w:pPr>
    </w:p>
    <w:p>
      <w:pPr>
        <w:pStyle w:val="Heading2"/>
      </w:pPr>
      <w:r>
        <w:t>4.4 多视角交叉验证与确定性门禁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2225"/>
        <w:gridCol w:w="2225"/>
        <w:gridCol w:w="2225"/>
        <w:gridCol w:w="2225"/>
      </w:tblGrid>
      <w:tr>
        <w:trPr>
          <w:tblHeader w:val="true"/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验证视角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检测内容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实现方式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失败动作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Knowledge Lens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目标知识点覆盖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确定性集合计算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修复或拒绝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Diagnosis Lens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资源难度与画像匹配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透明评分/语义判断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修订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Self-Check Lens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Schema和字段完整性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确定性校验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拒绝进入发布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Audit Lens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事实、证据和表达严谨性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证据子集校验+模型审核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通过/修订/拒绝/人工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12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21"/>
              </w:rPr>
              <w:t>【待填写】确定性门禁清单</w:t>
            </w:r>
          </w:p>
          <w:p>
            <w:pPr>
              <w:keepNext w:val="0"/>
              <w:widowControl/>
              <w:spacing w:before="0" w:after="0" w:line="312" w:lineRule="auto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列出声明—证据子集、目标知识点一致性、用户时长上限、组卷门禁等。每项注明代码实现、测试用例和失败处理。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spacing w:after="0"/>
      </w:pPr>
    </w:p>
    <w:p>
      <w:pPr>
        <w:pStyle w:val="Heading2"/>
      </w:pPr>
      <w:r>
        <w:t>4.5 声明级证据溯源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288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26"/>
              </w:rPr>
              <w:t>【插入图/截图】</w:t>
            </w:r>
          </w:p>
          <w:p>
            <w:pPr>
              <w:keepNext w:val="0"/>
              <w:widowControl/>
              <w:spacing w:before="0" w:after="0" w:line="312" w:lineRule="auto"/>
              <w:jc w:val="center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放入一条真实中医知识声明，展示 claim.evidence_ids、教材切片、来源版本、审核结果和前端引用展示。确保截图中无敏感数据。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keepNext w:val="0"/>
        <w:spacing w:before="80" w:after="160" w:line="240" w:lineRule="auto"/>
        <w:jc w:val="center"/>
      </w:pPr>
      <w:r>
        <w:rPr>
          <w:rFonts w:ascii="Times New Roman" w:hAnsi="Times New Roman" w:eastAsia="黑体"/>
          <w:color w:val="1F2937"/>
          <w:sz w:val="19"/>
        </w:rPr>
        <w:t>图4-2　声明—证据全链路溯源示例</w:t>
      </w:r>
    </w:p>
    <w:p>
      <w:pPr>
        <w:pStyle w:val="Heading2"/>
      </w:pPr>
      <w:r>
        <w:t>4.6 受控局部修复与防无限循环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288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26"/>
              </w:rPr>
              <w:t>【插入图/截图】</w:t>
            </w:r>
          </w:p>
          <w:p>
            <w:pPr>
              <w:keepNext w:val="0"/>
              <w:widowControl/>
              <w:spacing w:before="0" w:after="0" w:line="312" w:lineRule="auto"/>
              <w:jc w:val="center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资源草稿→四视角审核→pass发布；revise→生成LocalRepairPlan→只重跑受影响节点→二次审核→pass或人工复核。标明单次请求最多生成次数。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keepNext w:val="0"/>
        <w:spacing w:before="80" w:after="160" w:line="240" w:lineRule="auto"/>
        <w:jc w:val="center"/>
      </w:pPr>
      <w:r>
        <w:rPr>
          <w:rFonts w:ascii="Times New Roman" w:hAnsi="Times New Roman" w:eastAsia="黑体"/>
          <w:color w:val="1F2937"/>
          <w:sz w:val="19"/>
        </w:rPr>
        <w:t>图4-3　审核与局部修复流程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12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21"/>
              </w:rPr>
              <w:t>【待填写】真实修复案例</w:t>
            </w:r>
          </w:p>
          <w:p>
            <w:pPr>
              <w:keepNext w:val="0"/>
              <w:widowControl/>
              <w:spacing w:before="0" w:after="0" w:line="312" w:lineRule="auto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描述一次可复现的专业声明或题目错误：首次审核发现什么、重跑哪个节点、保留哪些节点、二次审核结果、总耗时与证据。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spacing w:after="0"/>
      </w:pPr>
    </w:p>
    <w:p>
      <w:pPr>
        <w:pStyle w:val="Heading2"/>
      </w:pPr>
      <w:r>
        <w:t>4.7 中断、恢复与人工复核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12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21"/>
              </w:rPr>
              <w:t>【待填写】人机协同异常处理</w:t>
            </w:r>
          </w:p>
          <w:p>
            <w:pPr>
              <w:keepNext w:val="0"/>
              <w:widowControl/>
              <w:spacing w:before="0" w:after="0" w:line="312" w:lineRule="auto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说明记忆冲突、缺失关键信息、确定性缺陷无法自动修复时如何中断、向用户澄清、恢复或升级人工复核。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第五章　个性化资源与动态决策闭环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4451"/>
        <w:gridCol w:w="4451"/>
      </w:tblGrid>
      <w:tr>
        <w:trPr>
          <w:tblHeader w:val="true"/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对应评分项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作品完整性30分、实用价值30分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本章目标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展示系统如何将画像、知识和交互反馈转化为多种个性化资源，并在学习后持续更新。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建议证据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资源样例、规划前后对比、复习调度、用户纠偏、状态写回。</w:t>
            </w:r>
          </w:p>
        </w:tc>
      </w:tr>
    </w:tbl>
    <w:p>
      <w:pPr>
        <w:spacing w:after="0"/>
      </w:pPr>
    </w:p>
    <w:p>
      <w:pPr>
        <w:pStyle w:val="Heading2"/>
      </w:pPr>
      <w:r>
        <w:t>5.1 个性化学习资源形态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2225"/>
        <w:gridCol w:w="2225"/>
        <w:gridCol w:w="2225"/>
        <w:gridCol w:w="2225"/>
      </w:tblGrid>
      <w:tr>
        <w:trPr>
          <w:tblHeader w:val="true"/>
          <w:cantSplit/>
        </w:trP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资源形态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个性化依据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专业质量保障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实际入口/样例</w:t>
            </w:r>
          </w:p>
        </w:tc>
      </w:tr>
      <w:tr>
        <w:trPr>
          <w:cantSplit/>
        </w:trP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个性化知识卡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薄弱点、目标、偏好、时间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教材证据+审核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【填写】</w:t>
            </w:r>
          </w:p>
        </w:tc>
      </w:tr>
      <w:tr>
        <w:trPr>
          <w:cantSplit/>
        </w:trP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证据化知识讲解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问题、前置知识、专业背景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声明—证据绑定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【填写】</w:t>
            </w:r>
          </w:p>
        </w:tc>
      </w:tr>
      <w:tr>
        <w:trPr>
          <w:cantSplit/>
        </w:trP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分阶题目/错题变式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错因、掌握度、目标难度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题库候选+专家+审核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【填写】</w:t>
            </w:r>
          </w:p>
        </w:tc>
      </w:tr>
      <w:tr>
        <w:trPr>
          <w:cantSplit/>
        </w:trP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智能组卷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考试路径、蓝图、知识分布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逐题校验+八道门禁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【填写】</w:t>
            </w:r>
          </w:p>
        </w:tc>
      </w:tr>
      <w:tr>
        <w:trPr>
          <w:cantSplit/>
        </w:trP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三层学习计划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考试日期、路线、时间、学情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硬约束+计划变更门控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【填写】</w:t>
            </w:r>
          </w:p>
        </w:tc>
      </w:tr>
      <w:tr>
        <w:trPr>
          <w:cantSplit/>
        </w:trP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案例简答/AI病患模拟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专业阶段、训练目标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专家批改/案例约束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【填写】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288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26"/>
              </w:rPr>
              <w:t>【插入图/截图】</w:t>
            </w:r>
          </w:p>
          <w:p>
            <w:pPr>
              <w:keepNext w:val="0"/>
              <w:widowControl/>
              <w:spacing w:before="0" w:after="0" w:line="312" w:lineRule="auto"/>
              <w:jc w:val="center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建议组合展示：知识卡、证据化讲解、分阶题目/智能组卷。每张截图注明画像ID、知识点、生成时间和审核状态。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keepNext w:val="0"/>
        <w:spacing w:before="80" w:after="160" w:line="240" w:lineRule="auto"/>
        <w:jc w:val="center"/>
      </w:pPr>
      <w:r>
        <w:rPr>
          <w:rFonts w:ascii="Times New Roman" w:hAnsi="Times New Roman" w:eastAsia="黑体"/>
          <w:color w:val="1F2937"/>
          <w:sz w:val="19"/>
        </w:rPr>
        <w:t>图5-1　至少三种个性化资源实际页面</w:t>
      </w:r>
    </w:p>
    <w:p>
      <w:pPr>
        <w:pStyle w:val="Heading2"/>
      </w:pPr>
      <w:r>
        <w:t>5.2 多时间尺度学习规划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tblHeader w:val="true"/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尺度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规划对象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关键输入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主要输出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变化触发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宏观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考试路线与阶段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目标考试、教材体系、先修关系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阶段—教材—知识点路径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考试目标/日期变化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中观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长期与短期计划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路线、薄弱点、里程碑、到期复习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阶段学习包、周计划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掌握度/完成率变化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微观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当日任务</w:t>
            </w:r>
          </w:p>
        </w:tc>
        <w:tc>
          <w:tcPr>
            <w:tcW w:type="dxa" w:w="25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今日时间、到期队列、即时作答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可执行任务与资源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可用时间/即时反馈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288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26"/>
              </w:rPr>
              <w:t>【插入图/截图】</w:t>
            </w:r>
          </w:p>
          <w:p>
            <w:pPr>
              <w:keepNext w:val="0"/>
              <w:widowControl/>
              <w:spacing w:before="0" w:after="0" w:line="312" w:lineRule="auto"/>
              <w:jc w:val="center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放入真实路径页面截图或结构图，标注“阶段→教材→知识点→当日任务”的映射关系及透明评分。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keepNext w:val="0"/>
        <w:spacing w:before="80" w:after="160" w:line="240" w:lineRule="auto"/>
        <w:jc w:val="center"/>
      </w:pPr>
      <w:r>
        <w:rPr>
          <w:rFonts w:ascii="Times New Roman" w:hAnsi="Times New Roman" w:eastAsia="黑体"/>
          <w:color w:val="1F2937"/>
          <w:sz w:val="19"/>
        </w:rPr>
        <w:t>图5-2　宏观—中观—微观学习路径</w:t>
      </w:r>
    </w:p>
    <w:p>
      <w:pPr>
        <w:pStyle w:val="Heading2"/>
      </w:pPr>
      <w:r>
        <w:t>5.3 复习记忆与确定性调度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12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21"/>
              </w:rPr>
              <w:t>【待填写】调度模型</w:t>
            </w:r>
          </w:p>
          <w:p>
            <w:pPr>
              <w:keepNext w:val="0"/>
              <w:widowControl/>
              <w:spacing w:before="0" w:after="0" w:line="312" w:lineRule="auto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说明保持率、稳定期、到期时间和优先级的计算方式；区分工程基线与已验证教育结论；注明进入复习队列必须满足的完成/批改条件。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2225"/>
        <w:gridCol w:w="2225"/>
        <w:gridCol w:w="2225"/>
        <w:gridCol w:w="2225"/>
      </w:tblGrid>
      <w:tr>
        <w:trPr>
          <w:tblHeader w:val="true"/>
          <w:cantSplit/>
        </w:trPr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状态变化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触发条件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写回字段</w:t>
            </w:r>
          </w:p>
        </w:tc>
        <w:tc>
          <w:tcPr>
            <w:tcW w:type="dxa" w:w="27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下一步影响</w:t>
            </w:r>
          </w:p>
        </w:tc>
      </w:tr>
      <w:tr>
        <w:trPr>
          <w:cantSplit/>
        </w:trPr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首次完成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任务完成且批改通过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掌握度、完成时间、稳定期</w:t>
            </w:r>
          </w:p>
        </w:tc>
        <w:tc>
          <w:tcPr>
            <w:tcW w:type="dxa" w:w="27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建立复习记忆</w:t>
            </w:r>
          </w:p>
        </w:tc>
      </w:tr>
      <w:tr>
        <w:trPr>
          <w:cantSplit/>
        </w:trPr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复习成功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复习作答达标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掌握度上升、间隔延长</w:t>
            </w:r>
          </w:p>
        </w:tc>
        <w:tc>
          <w:tcPr>
            <w:tcW w:type="dxa" w:w="27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延后下次复习</w:t>
            </w:r>
          </w:p>
        </w:tc>
      </w:tr>
      <w:tr>
        <w:trPr>
          <w:cantSplit/>
        </w:trPr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复习失败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错误或批改未通过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薄弱标记、间隔调整</w:t>
            </w:r>
          </w:p>
        </w:tc>
        <w:tc>
          <w:tcPr>
            <w:tcW w:type="dxa" w:w="27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进入补强/变式训练</w:t>
            </w:r>
          </w:p>
        </w:tc>
      </w:tr>
      <w:tr>
        <w:trPr>
          <w:cantSplit/>
        </w:trPr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长期未复习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保持率低于阈值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到期状态、紧迫度</w:t>
            </w:r>
          </w:p>
        </w:tc>
        <w:tc>
          <w:tcPr>
            <w:tcW w:type="dxa" w:w="27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提高调度优先级</w:t>
            </w:r>
          </w:p>
        </w:tc>
      </w:tr>
    </w:tbl>
    <w:p>
      <w:pPr>
        <w:spacing w:after="0"/>
      </w:pPr>
    </w:p>
    <w:p>
      <w:pPr>
        <w:pStyle w:val="Heading2"/>
      </w:pPr>
      <w:r>
        <w:t>5.4 客观事实变化触发自动重规划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tblHeader w:val="true"/>
          <w:cantSplit/>
        </w:trPr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变化类型</w:t>
            </w:r>
          </w:p>
        </w:tc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变化前</w:t>
            </w:r>
          </w:p>
        </w:tc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变化后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系统决策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结果证据</w:t>
            </w:r>
          </w:p>
        </w:tc>
      </w:tr>
      <w:tr>
        <w:trPr>
          <w:cantSplit/>
        </w:trPr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可用时间</w:t>
            </w:r>
          </w:p>
        </w:tc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60分钟</w:t>
            </w:r>
          </w:p>
        </w:tc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20分钟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拆分/压缩/延后非关键任务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【前后截图】</w:t>
            </w:r>
          </w:p>
        </w:tc>
      </w:tr>
      <w:tr>
        <w:trPr>
          <w:cantSplit/>
        </w:trPr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完成率</w:t>
            </w:r>
          </w:p>
        </w:tc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【填写】</w:t>
            </w:r>
          </w:p>
        </w:tc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低于50%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次日负载缩减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【计划版本】</w:t>
            </w:r>
          </w:p>
        </w:tc>
      </w:tr>
      <w:tr>
        <w:trPr>
          <w:cantSplit/>
        </w:trPr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掌握度</w:t>
            </w:r>
          </w:p>
        </w:tc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【填写】</w:t>
            </w:r>
          </w:p>
        </w:tc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【填写】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薄弱点和任务优先级更新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【快照】</w:t>
            </w:r>
          </w:p>
        </w:tc>
      </w:tr>
      <w:tr>
        <w:trPr>
          <w:cantSplit/>
        </w:trPr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复习到期</w:t>
            </w:r>
          </w:p>
        </w:tc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未到期</w:t>
            </w:r>
          </w:p>
        </w:tc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到期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插入复习任务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【队列】</w:t>
            </w:r>
          </w:p>
        </w:tc>
      </w:tr>
      <w:tr>
        <w:trPr>
          <w:cantSplit/>
        </w:trPr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考试日期</w:t>
            </w:r>
          </w:p>
        </w:tc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【填写】</w:t>
            </w:r>
          </w:p>
        </w:tc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【填写】</w:t>
            </w:r>
          </w:p>
        </w:tc>
        <w:tc>
          <w:tcPr>
            <w:tcW w:type="dxa" w:w="300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阶段节奏重排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【路径版本】</w:t>
            </w:r>
          </w:p>
        </w:tc>
      </w:tr>
    </w:tbl>
    <w:p>
      <w:pPr>
        <w:spacing w:after="0"/>
      </w:pPr>
    </w:p>
    <w:p>
      <w:pPr>
        <w:pStyle w:val="Heading2"/>
      </w:pPr>
      <w:r>
        <w:t>5.5 用户主动纠偏与画像更新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12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21"/>
              </w:rPr>
              <w:t>【待填写】用户纠偏机制</w:t>
            </w:r>
          </w:p>
          <w:p>
            <w:pPr>
              <w:keepNext w:val="0"/>
              <w:widowControl/>
              <w:spacing w:before="0" w:after="0" w:line="312" w:lineRule="auto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说明学习者如何纠正错因、难度、资源形式和计划选择；哪些反馈直接更新，哪些需要确认；下一轮诊断或规划如何消费这些变化。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288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26"/>
              </w:rPr>
              <w:t>【插入图/截图】</w:t>
            </w:r>
          </w:p>
          <w:p>
            <w:pPr>
              <w:keepNext w:val="0"/>
              <w:widowControl/>
              <w:spacing w:before="0" w:after="0" w:line="312" w:lineRule="auto"/>
              <w:jc w:val="center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左侧为用户主观反馈：错因、难度、偏好；右侧为客观事实：时间、完成率、掌握度、到期状态。展示二者如何分别进入画像更新和自动重规划。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keepNext w:val="0"/>
        <w:spacing w:before="80" w:after="160" w:line="240" w:lineRule="auto"/>
        <w:jc w:val="center"/>
      </w:pPr>
      <w:r>
        <w:rPr>
          <w:rFonts w:ascii="Times New Roman" w:hAnsi="Times New Roman" w:eastAsia="黑体"/>
          <w:color w:val="1F2937"/>
          <w:sz w:val="19"/>
        </w:rPr>
        <w:t>图5-3　用户纠偏与系统自主重规划的分工</w:t>
      </w:r>
    </w:p>
    <w:p>
      <w:pPr>
        <w:pStyle w:val="Heading2"/>
      </w:pPr>
      <w:r>
        <w:t>5.6 学习行为采集与闭环写回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12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21"/>
              </w:rPr>
              <w:t>【待填写】闭环证据</w:t>
            </w:r>
          </w:p>
          <w:p>
            <w:pPr>
              <w:keepNext w:val="0"/>
              <w:widowControl/>
              <w:spacing w:before="0" w:after="0" w:line="312" w:lineRule="auto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选取一个真实执行ID，展示学习前画像/掌握度、下发资源、作答、批改、掌握度变化、复习队列变化和下一轮任务。建议用前后对比表。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第六章　用户体验与可视化设计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4451"/>
        <w:gridCol w:w="4451"/>
      </w:tblGrid>
      <w:tr>
        <w:trPr>
          <w:tblHeader w:val="true"/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对应评分项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用户体验15分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本章目标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证明系统不是黑盒，用户可以理解协同过程、查看决策依据、完成学习操作并处理异常。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建议证据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用户旅程、真实截图、可视化说明、移动端和异常状态。</w:t>
            </w:r>
          </w:p>
        </w:tc>
      </w:tr>
    </w:tbl>
    <w:p>
      <w:pPr>
        <w:spacing w:after="0"/>
      </w:pPr>
    </w:p>
    <w:p>
      <w:pPr>
        <w:pStyle w:val="Heading2"/>
      </w:pPr>
      <w:r>
        <w:t>6.1 设计目标与交互原则</w:t>
      </w:r>
    </w:p>
    <w:p>
      <w:pPr>
        <w:pStyle w:val="ListBullet"/>
        <w:keepNext w:val="0"/>
        <w:spacing w:before="0" w:after="40" w:line="324" w:lineRule="auto"/>
      </w:pPr>
      <w:r>
        <w:rPr>
          <w:rFonts w:ascii="Times New Roman" w:hAnsi="Times New Roman" w:eastAsia="宋体"/>
        </w:rPr>
        <w:t>以学习任务为中心，不让用户理解底层技术后才能使用。</w:t>
      </w:r>
    </w:p>
    <w:p>
      <w:pPr>
        <w:pStyle w:val="ListBullet"/>
        <w:keepNext w:val="0"/>
        <w:spacing w:before="0" w:after="40" w:line="324" w:lineRule="auto"/>
      </w:pPr>
      <w:r>
        <w:rPr>
          <w:rFonts w:ascii="Times New Roman" w:hAnsi="Times New Roman" w:eastAsia="宋体"/>
        </w:rPr>
        <w:t>协作过程透明但不过度暴露原始内部上下文。</w:t>
      </w:r>
    </w:p>
    <w:p>
      <w:pPr>
        <w:pStyle w:val="ListBullet"/>
        <w:keepNext w:val="0"/>
        <w:spacing w:before="0" w:after="40" w:line="324" w:lineRule="auto"/>
      </w:pPr>
      <w:r>
        <w:rPr>
          <w:rFonts w:ascii="Times New Roman" w:hAnsi="Times New Roman" w:eastAsia="宋体"/>
        </w:rPr>
        <w:t>重要决策展示依据、状态和下一步动作。</w:t>
      </w:r>
    </w:p>
    <w:p>
      <w:pPr>
        <w:pStyle w:val="ListBullet"/>
        <w:keepNext w:val="0"/>
        <w:spacing w:before="0" w:after="40" w:line="324" w:lineRule="auto"/>
      </w:pPr>
      <w:r>
        <w:rPr>
          <w:rFonts w:ascii="Times New Roman" w:hAnsi="Times New Roman" w:eastAsia="宋体"/>
        </w:rPr>
        <w:t>长流程提供流式进度、中断恢复和明确终态。</w:t>
      </w:r>
    </w:p>
    <w:p>
      <w:pPr>
        <w:pStyle w:val="ListBullet"/>
        <w:keepNext w:val="0"/>
        <w:spacing w:before="0" w:after="40" w:line="324" w:lineRule="auto"/>
      </w:pPr>
      <w:r>
        <w:rPr>
          <w:rFonts w:ascii="Times New Roman" w:hAnsi="Times New Roman" w:eastAsia="宋体"/>
        </w:rPr>
        <w:t>桌面与移动端均保持核心任务可达。</w:t>
      </w:r>
    </w:p>
    <w:p>
      <w:pPr>
        <w:pStyle w:val="Heading2"/>
      </w:pPr>
      <w:r>
        <w:t>6.2 关键用户旅程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tblHeader w:val="true"/>
          <w:cantSplit/>
        </w:trPr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旅程阶段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用户动作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系统反馈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关键页面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体验验收点</w:t>
            </w:r>
          </w:p>
        </w:tc>
      </w:tr>
      <w:tr>
        <w:trPr>
          <w:cantSplit/>
        </w:trPr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注册画像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填写背景、目标、时间、偏好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建立画像和初始记忆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登录/学情调查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无需重复询问</w:t>
            </w:r>
          </w:p>
        </w:tc>
      </w:tr>
      <w:tr>
        <w:trPr>
          <w:cantSplit/>
        </w:trPr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查看学情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进入报告页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显示雷达、趋势、薄弱点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学情报告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数据可解释且新鲜度可见</w:t>
            </w:r>
          </w:p>
        </w:tc>
      </w:tr>
      <w:tr>
        <w:trPr>
          <w:cantSplit/>
        </w:trPr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开始学习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选择路径或请求助教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生成/推荐任务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首页/规划/助教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操作步骤短</w:t>
            </w:r>
          </w:p>
        </w:tc>
      </w:tr>
      <w:tr>
        <w:trPr>
          <w:cantSplit/>
        </w:trPr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查看协作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展开执行轨迹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角色、证据、审核、修复可见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智能助教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系统非黑盒</w:t>
            </w:r>
          </w:p>
        </w:tc>
      </w:tr>
      <w:tr>
        <w:trPr>
          <w:cantSplit/>
        </w:trPr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完成训练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作答/提交/反馈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批改和状态写回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学习/训练工坊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反馈及时</w:t>
            </w:r>
          </w:p>
        </w:tc>
      </w:tr>
      <w:tr>
        <w:trPr>
          <w:cantSplit/>
        </w:trPr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复习规划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查看到期队列和新计划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展示变化原因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复习/规划页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前后变化可理解</w:t>
            </w:r>
          </w:p>
        </w:tc>
      </w:tr>
    </w:tbl>
    <w:p>
      <w:pPr>
        <w:spacing w:after="0"/>
      </w:pPr>
    </w:p>
    <w:p>
      <w:pPr>
        <w:pStyle w:val="Heading2"/>
      </w:pPr>
      <w:r>
        <w:t>6.3 学情与资源匹配可视化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288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26"/>
              </w:rPr>
              <w:t>【插入图/截图】</w:t>
            </w:r>
          </w:p>
          <w:p>
            <w:pPr>
              <w:keepNext w:val="0"/>
              <w:widowControl/>
              <w:spacing w:before="0" w:after="0" w:line="312" w:lineRule="auto"/>
              <w:jc w:val="center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插入真实页面：能力雷达、学习趋势、薄弱知识点、样本数和数据新鲜度。避免使用与实际数据不一致的演示数字。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keepNext w:val="0"/>
        <w:spacing w:before="80" w:after="160" w:line="240" w:lineRule="auto"/>
        <w:jc w:val="center"/>
      </w:pPr>
      <w:r>
        <w:rPr>
          <w:rFonts w:ascii="Times New Roman" w:hAnsi="Times New Roman" w:eastAsia="黑体"/>
          <w:color w:val="1F2937"/>
          <w:sz w:val="19"/>
        </w:rPr>
        <w:t>图6-1　个人学情报告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288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26"/>
              </w:rPr>
              <w:t>【插入图/截图】</w:t>
            </w:r>
          </w:p>
          <w:p>
            <w:pPr>
              <w:keepNext w:val="0"/>
              <w:widowControl/>
              <w:spacing w:before="0" w:after="0" w:line="312" w:lineRule="auto"/>
              <w:jc w:val="center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插入真实学习路径图、资源难度或透明评分。如果当前没有“难度曲线”，应准确写为“难度适配结果/评分解释”，不得把规划中的功能写成已完成。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keepNext w:val="0"/>
        <w:spacing w:before="80" w:after="160" w:line="240" w:lineRule="auto"/>
        <w:jc w:val="center"/>
      </w:pPr>
      <w:r>
        <w:rPr>
          <w:rFonts w:ascii="Times New Roman" w:hAnsi="Times New Roman" w:eastAsia="黑体"/>
          <w:color w:val="1F2937"/>
          <w:sz w:val="19"/>
        </w:rPr>
        <w:t>图6-2　学习路径与难度适配展示</w:t>
      </w:r>
    </w:p>
    <w:p>
      <w:pPr>
        <w:pStyle w:val="Heading2"/>
      </w:pPr>
      <w:r>
        <w:t>6.4 多智能体协同过程可视化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288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26"/>
              </w:rPr>
              <w:t>【插入图/截图】</w:t>
            </w:r>
          </w:p>
          <w:p>
            <w:pPr>
              <w:keepNext w:val="0"/>
              <w:widowControl/>
              <w:spacing w:before="0" w:after="0" w:line="312" w:lineRule="auto"/>
              <w:jc w:val="center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展示参与角色、步骤状态、证据检索、审核门禁、局部修复和最终结果。截图中不得显示密钥、原始敏感交接正文。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keepNext w:val="0"/>
        <w:spacing w:before="80" w:after="160" w:line="240" w:lineRule="auto"/>
        <w:jc w:val="center"/>
      </w:pPr>
      <w:r>
        <w:rPr>
          <w:rFonts w:ascii="Times New Roman" w:hAnsi="Times New Roman" w:eastAsia="黑体"/>
          <w:color w:val="1F2937"/>
          <w:sz w:val="19"/>
        </w:rPr>
        <w:t>图6-3　协作凭证与执行轨迹</w:t>
      </w:r>
    </w:p>
    <w:p>
      <w:pPr>
        <w:pStyle w:val="Heading2"/>
      </w:pPr>
      <w:r>
        <w:t>6.5 学习资源展示规范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2225"/>
        <w:gridCol w:w="2225"/>
        <w:gridCol w:w="2225"/>
        <w:gridCol w:w="2225"/>
      </w:tblGrid>
      <w:tr>
        <w:trPr>
          <w:tblHeader w:val="true"/>
          <w:cantSplit/>
        </w:trP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展示元素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设计要求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实际实现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验收证据</w:t>
            </w:r>
          </w:p>
        </w:tc>
      </w:tr>
      <w:tr>
        <w:trPr>
          <w:cantSplit/>
        </w:trP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内容层级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标题、摘要、正文、要点清晰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【填写】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【截图】</w:t>
            </w:r>
          </w:p>
        </w:tc>
      </w:tr>
      <w:tr>
        <w:trPr>
          <w:cantSplit/>
        </w:trP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证据引用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声明可定位到教材或题库来源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【填写】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【截图】</w:t>
            </w:r>
          </w:p>
        </w:tc>
      </w:tr>
      <w:tr>
        <w:trPr>
          <w:cantSplit/>
        </w:trP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难度与时长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让用户知道资源要求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【填写】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【截图】</w:t>
            </w:r>
          </w:p>
        </w:tc>
      </w:tr>
      <w:tr>
        <w:trPr>
          <w:cantSplit/>
        </w:trP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安全提示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中医禁忌和不确定内容显著展示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【填写】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【截图】</w:t>
            </w:r>
          </w:p>
        </w:tc>
      </w:tr>
      <w:tr>
        <w:trPr>
          <w:cantSplit/>
        </w:trP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题目反馈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答案、解析、错因和下一步动作明确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【填写】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【截图】</w:t>
            </w:r>
          </w:p>
        </w:tc>
      </w:tr>
    </w:tbl>
    <w:p>
      <w:pPr>
        <w:spacing w:after="0"/>
      </w:pPr>
    </w:p>
    <w:p>
      <w:pPr>
        <w:pStyle w:val="Heading2"/>
      </w:pPr>
      <w:r>
        <w:t>6.6 异常状态与恢复体验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tblHeader w:val="true"/>
          <w:cantSplit/>
        </w:trP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异常场景</w:t>
            </w:r>
          </w:p>
        </w:tc>
        <w:tc>
          <w:tcPr>
            <w:tcW w:type="dxa" w:w="20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用户可见提示</w:t>
            </w:r>
          </w:p>
        </w:tc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可执行动作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系统行为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验证结果</w:t>
            </w:r>
          </w:p>
        </w:tc>
      </w:tr>
      <w:tr>
        <w:trPr>
          <w:cantSplit/>
        </w:trP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模型/检索超时</w:t>
            </w:r>
          </w:p>
        </w:tc>
        <w:tc>
          <w:tcPr>
            <w:tcW w:type="dxa" w:w="20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【填写】</w:t>
            </w:r>
          </w:p>
        </w:tc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重试/降级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保留已有节点结果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【填写】</w:t>
            </w:r>
          </w:p>
        </w:tc>
      </w:tr>
      <w:tr>
        <w:trPr>
          <w:cantSplit/>
        </w:trP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需要澄清</w:t>
            </w:r>
          </w:p>
        </w:tc>
        <w:tc>
          <w:tcPr>
            <w:tcW w:type="dxa" w:w="20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【填写】</w:t>
            </w:r>
          </w:p>
        </w:tc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补充信息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中断并持久化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【填写】</w:t>
            </w:r>
          </w:p>
        </w:tc>
      </w:tr>
      <w:tr>
        <w:trPr>
          <w:cantSplit/>
        </w:trP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审核拒绝</w:t>
            </w:r>
          </w:p>
        </w:tc>
        <w:tc>
          <w:tcPr>
            <w:tcW w:type="dxa" w:w="20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【填写】</w:t>
            </w:r>
          </w:p>
        </w:tc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查看原因/等待人工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不发布不合规资源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【填写】</w:t>
            </w:r>
          </w:p>
        </w:tc>
      </w:tr>
      <w:tr>
        <w:trPr>
          <w:cantSplit/>
        </w:trP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页面刷新/断线</w:t>
            </w:r>
          </w:p>
        </w:tc>
        <w:tc>
          <w:tcPr>
            <w:tcW w:type="dxa" w:w="20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【填写】</w:t>
            </w:r>
          </w:p>
        </w:tc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恢复会话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从检查点继续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【填写】</w:t>
            </w:r>
          </w:p>
        </w:tc>
      </w:tr>
      <w:tr>
        <w:trPr>
          <w:cantSplit/>
        </w:trP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空数据状态</w:t>
            </w:r>
          </w:p>
        </w:tc>
        <w:tc>
          <w:tcPr>
            <w:tcW w:type="dxa" w:w="20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【填写】</w:t>
            </w:r>
          </w:p>
        </w:tc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引导建立画像/开始任务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不伪造学习结论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【填写】</w:t>
            </w:r>
          </w:p>
        </w:tc>
      </w:tr>
    </w:tbl>
    <w:p>
      <w:pPr>
        <w:spacing w:after="0"/>
      </w:pPr>
    </w:p>
    <w:p>
      <w:pPr>
        <w:pStyle w:val="Heading2"/>
      </w:pPr>
      <w:r>
        <w:t>6.7 移动端与可访问性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12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21"/>
              </w:rPr>
              <w:t>【待填写】多端体验</w:t>
            </w:r>
          </w:p>
          <w:p>
            <w:pPr>
              <w:keepNext w:val="0"/>
              <w:widowControl/>
              <w:spacing w:before="0" w:after="0" w:line="312" w:lineRule="auto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说明移动端导航、触控目标、文字可读性、色彩对比、键盘操作、加载反馈等。附桌面和移动端同一流程截图。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第七章　三项核心创新与比较分析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4451"/>
        <w:gridCol w:w="4451"/>
      </w:tblGrid>
      <w:tr>
        <w:trPr>
          <w:tblHeader w:val="true"/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对应评分项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技术创新性25分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本章目标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以问题—机制—实现—效果—证据形式说明创新，避免以“拥有功能”替代创新，也避免无法验证的绝对化表述。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建议证据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三项创新、基线比较、消融/案例验证、适用边界。</w:t>
            </w:r>
          </w:p>
        </w:tc>
      </w:tr>
    </w:tbl>
    <w:p>
      <w:pPr>
        <w:spacing w:after="0"/>
      </w:pPr>
    </w:p>
    <w:p>
      <w:pPr>
        <w:pStyle w:val="Heading2"/>
      </w:pPr>
      <w:r>
        <w:t>7.1 创新一：证据约束与可追责的多智能体可信执行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12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21"/>
              </w:rPr>
              <w:t>【待填写】创新点一</w:t>
            </w:r>
          </w:p>
          <w:p>
            <w:pPr>
              <w:keepNext w:val="0"/>
              <w:widowControl/>
              <w:spacing w:before="0" w:after="0" w:line="312" w:lineRule="auto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按“现有问题→核心机制→关键实现→相对常规方案差异→效果指标→证据”撰写。纳入按需通信、声明证据绑定、审核门禁、执行追踪和局部修复。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spacing w:after="0"/>
      </w:pPr>
    </w:p>
    <w:p>
      <w:pPr>
        <w:pStyle w:val="Heading2"/>
      </w:pPr>
      <w:r>
        <w:t>7.2 创新二：安全约束下的多时间尺度路径自主规划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12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21"/>
              </w:rPr>
              <w:t>【待填写】创新点二</w:t>
            </w:r>
          </w:p>
          <w:p>
            <w:pPr>
              <w:keepNext w:val="0"/>
              <w:widowControl/>
              <w:spacing w:before="0" w:after="0" w:line="312" w:lineRule="auto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说明宏观—中观—微观规划如何同时消费路线、先修、薄弱点、复习到期和时间预算；客观事实变化如何触发确定性重规划。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spacing w:after="0"/>
      </w:pPr>
    </w:p>
    <w:p>
      <w:pPr>
        <w:pStyle w:val="Heading2"/>
      </w:pPr>
      <w:r>
        <w:t>7.3 创新三：人机协同的用户纠偏与可解释决策闭环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12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21"/>
              </w:rPr>
              <w:t>【待填写】创新点三</w:t>
            </w:r>
          </w:p>
          <w:p>
            <w:pPr>
              <w:keepNext w:val="0"/>
              <w:widowControl/>
              <w:spacing w:before="0" w:after="0" w:line="312" w:lineRule="auto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说明推荐依据如何展示、用户如何纠正错因/难度/偏好、反馈如何写回画像，并真实影响下一轮路径和资源。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spacing w:after="0"/>
      </w:pPr>
    </w:p>
    <w:p>
      <w:pPr>
        <w:pStyle w:val="Heading2"/>
      </w:pPr>
      <w:r>
        <w:t>7.4 技术机制比较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tblHeader w:val="true"/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比较维度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通用聊天模型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常规推荐系统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本项目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验证方式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专业声明证据绑定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通常无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不适用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逐条绑定证据ID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证据覆盖率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生成审核门禁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弱/自审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不适用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模型+确定性门禁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错误拦截率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失败节点局部修复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通常无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通常无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保留无关节点，仅修复受影响步骤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修复成功率/成本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多尺度可执行规划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通常无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部分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宏观中观微观+硬约束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冲突率/完成率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用户纠偏写回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弱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部分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画像更新进入下一轮决策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纠偏成功率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执行过程可追踪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弱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部分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角色、证据、审核和修复轨迹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轨迹完整率</w:t>
            </w:r>
          </w:p>
        </w:tc>
      </w:tr>
    </w:tbl>
    <w:p>
      <w:pPr>
        <w:spacing w:after="0"/>
      </w:pPr>
    </w:p>
    <w:p>
      <w:pPr>
        <w:pStyle w:val="Heading2"/>
      </w:pPr>
      <w:r>
        <w:t>7.5 创新验证与消融设计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tblHeader w:val="true"/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验证问题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对照设置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实验组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评价指标</w:t>
            </w:r>
          </w:p>
        </w:tc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证据和审核是否降低用户可见幻觉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无审核/仅生成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完整证据+审核链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模型级与系统级幻觉率</w:t>
            </w:r>
          </w:p>
        </w:tc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【填写】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局部修复是否减少重复工作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整链重跑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受影响节点重跑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调用次数、耗时、通过率</w:t>
            </w:r>
          </w:p>
        </w:tc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【填写】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画像是否影响资源难度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空画像/统一画像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差异化画像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适配度、内容差异</w:t>
            </w:r>
          </w:p>
        </w:tc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【填写】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客观变化是否正确重规划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固定计划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动态事实输入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冲突率、超时率、完成率</w:t>
            </w:r>
          </w:p>
        </w:tc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7"/>
              </w:rPr>
              <w:t>【填写】</w:t>
            </w:r>
          </w:p>
        </w:tc>
      </w:tr>
    </w:tbl>
    <w:p>
      <w:pPr>
        <w:spacing w:after="0"/>
      </w:pPr>
    </w:p>
    <w:p>
      <w:pPr>
        <w:pStyle w:val="Heading2"/>
      </w:pPr>
      <w:r>
        <w:t>7.6 创新表述边界与适用范围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00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19"/>
              </w:rPr>
              <w:t>注意：</w:t>
            </w: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除非已有充分文献检索和实证依据，不使用“全球首个”“国内唯一”“全面领先”“零幻觉”“显著提升考试通过率”等表述。建议写“本项目形成……机制”“实测结果显示……”“在当前样本和版本下……”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12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21"/>
              </w:rPr>
              <w:t>【待填写】适用边界</w:t>
            </w:r>
          </w:p>
          <w:p>
            <w:pPr>
              <w:keepNext w:val="0"/>
              <w:widowControl/>
              <w:spacing w:before="0" w:after="0" w:line="312" w:lineRule="auto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说明哪些结论已由工程测试支持，哪些仍需真实用户实验；说明迁移到法律、金融或工程领域时需要替换哪些知识资产和审核规则。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第八章　测试方案、数据与实测结果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4451"/>
        <w:gridCol w:w="4451"/>
      </w:tblGrid>
      <w:tr>
        <w:trPr>
          <w:tblHeader w:val="true"/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对应评分项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实用价值30分、完整性与创新性证据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本章目标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用可复现测试证明三项核心指标及协同系统质量。结果必须带版本、样本量、判定口径和失败案例。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建议证据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数据清单、指标定义、双通道判定、置信区间、执行产物和测试结论。</w:t>
            </w:r>
          </w:p>
        </w:tc>
      </w:tr>
    </w:tbl>
    <w:p>
      <w:pPr>
        <w:spacing w:after="0"/>
      </w:pPr>
    </w:p>
    <w:p>
      <w:pPr>
        <w:pStyle w:val="Heading2"/>
      </w:pPr>
      <w:r>
        <w:t>8.1 测试环境与版本冻结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2967"/>
        <w:gridCol w:w="2967"/>
        <w:gridCol w:w="2967"/>
      </w:tblGrid>
      <w:tr>
        <w:trPr>
          <w:tblHeader w:val="true"/>
          <w:cantSplit/>
        </w:trPr>
        <w:tc>
          <w:tcPr>
            <w:tcW w:type="dxa" w:w="192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配置/版本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192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代码版本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【Git commit / release tag】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必须与主文档封面一致</w:t>
            </w:r>
          </w:p>
        </w:tc>
      </w:tr>
      <w:tr>
        <w:trPr>
          <w:cantSplit/>
        </w:trPr>
        <w:tc>
          <w:tcPr>
            <w:tcW w:type="dxa" w:w="192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测试时间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【起止时间】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注明时区</w:t>
            </w:r>
          </w:p>
        </w:tc>
      </w:tr>
      <w:tr>
        <w:trPr>
          <w:cantSplit/>
        </w:trPr>
        <w:tc>
          <w:tcPr>
            <w:tcW w:type="dxa" w:w="192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运行模式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【Stub / Live】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核心指标应使用Live链路</w:t>
            </w:r>
          </w:p>
        </w:tc>
      </w:tr>
      <w:tr>
        <w:trPr>
          <w:cantSplit/>
        </w:trPr>
        <w:tc>
          <w:tcPr>
            <w:tcW w:type="dxa" w:w="192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生成模型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【模型名与版本】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不要只写服务商</w:t>
            </w:r>
          </w:p>
        </w:tc>
      </w:tr>
      <w:tr>
        <w:trPr>
          <w:cantSplit/>
        </w:trPr>
        <w:tc>
          <w:tcPr>
            <w:tcW w:type="dxa" w:w="192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Judge模型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【模型名与版本】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应与生成模型独立</w:t>
            </w:r>
          </w:p>
        </w:tc>
      </w:tr>
      <w:tr>
        <w:trPr>
          <w:cantSplit/>
        </w:trPr>
        <w:tc>
          <w:tcPr>
            <w:tcW w:type="dxa" w:w="192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Embedding模型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【模型名与版本】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注明本地/远程</w:t>
            </w:r>
          </w:p>
        </w:tc>
      </w:tr>
      <w:tr>
        <w:trPr>
          <w:cantSplit/>
        </w:trPr>
        <w:tc>
          <w:tcPr>
            <w:tcW w:type="dxa" w:w="192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Prompt版本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【版本号/校验和】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冻结后再评测</w:t>
            </w:r>
          </w:p>
        </w:tc>
      </w:tr>
      <w:tr>
        <w:trPr>
          <w:cantSplit/>
        </w:trPr>
        <w:tc>
          <w:tcPr>
            <w:tcW w:type="dxa" w:w="192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硬件/并发</w:t>
            </w:r>
          </w:p>
        </w:tc>
        <w:tc>
          <w:tcPr>
            <w:tcW w:type="dxa" w:w="408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【CPU/GPU/内存/workers】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用于复现时延</w:t>
            </w:r>
          </w:p>
        </w:tc>
      </w:tr>
    </w:tbl>
    <w:p>
      <w:pPr>
        <w:spacing w:after="0"/>
      </w:pPr>
    </w:p>
    <w:p>
      <w:pPr>
        <w:pStyle w:val="Heading2"/>
      </w:pPr>
      <w:r>
        <w:t>8.2 赛题指标与判定口径总览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1113"/>
        <w:gridCol w:w="1113"/>
        <w:gridCol w:w="1113"/>
        <w:gridCol w:w="1113"/>
        <w:gridCol w:w="1113"/>
        <w:gridCol w:w="1113"/>
        <w:gridCol w:w="1113"/>
        <w:gridCol w:w="1113"/>
      </w:tblGrid>
      <w:tr>
        <w:trPr>
          <w:tblHeader w:val="true"/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5"/>
              </w:rPr>
              <w:t>指标</w:t>
            </w:r>
          </w:p>
        </w:tc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5"/>
              </w:rPr>
              <w:t>目标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5"/>
              </w:rPr>
              <w:t>被测对象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5"/>
              </w:rPr>
              <w:t>样本量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5"/>
              </w:rPr>
              <w:t>判定方法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5"/>
              </w:rPr>
              <w:t>实测值</w:t>
            </w:r>
          </w:p>
        </w:tc>
        <w:tc>
          <w:tcPr>
            <w:tcW w:type="dxa" w:w="7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5"/>
              </w:rPr>
              <w:t>95% CI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5"/>
              </w:rPr>
              <w:t>结论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专业知识谬误率</w:t>
            </w:r>
          </w:p>
        </w:tc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&lt;5%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六智能体最终用户可见输出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【N】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规则+独立Judge+人工抽检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【】</w:t>
            </w:r>
          </w:p>
        </w:tc>
        <w:tc>
          <w:tcPr>
            <w:tcW w:type="dxa" w:w="7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【】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【达标/未达标】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画像—难度适配准确率</w:t>
            </w:r>
          </w:p>
        </w:tc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≥85%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差异化画像生成资源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【N】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客观约束+四维Rubric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【】</w:t>
            </w:r>
          </w:p>
        </w:tc>
        <w:tc>
          <w:tcPr>
            <w:tcW w:type="dxa" w:w="7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【】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【】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核心知识点覆盖率</w:t>
            </w:r>
          </w:p>
        </w:tc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≥90%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【知识库/资源，二选一写清】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【N】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黄金知识点+文本/语义验证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【】</w:t>
            </w:r>
          </w:p>
        </w:tc>
        <w:tc>
          <w:tcPr>
            <w:tcW w:type="dxa" w:w="79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【】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【】</w:t>
            </w:r>
          </w:p>
        </w:tc>
      </w:tr>
    </w:tbl>
    <w:p>
      <w:pPr>
        <w:spacing w:after="0"/>
      </w:pPr>
    </w:p>
    <w:p>
      <w:pPr>
        <w:pStyle w:val="Heading2"/>
      </w:pPr>
      <w:r>
        <w:t>8.3 测试数据集与画像用例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tblHeader w:val="true"/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数据集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来源与授权</w:t>
            </w:r>
          </w:p>
        </w:tc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规模</w:t>
            </w:r>
          </w:p>
        </w:tc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抽样方法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用途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版本/路径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中医资格考试题库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分层抽样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幻觉/准确性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教材知识切片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【节点/切片数】</w:t>
            </w:r>
          </w:p>
        </w:tc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全量/抽样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证据与覆盖率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外部公开基准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【C-FAITH/CMHE等】</w:t>
            </w:r>
          </w:p>
        </w:tc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领域泛化对照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差异化画像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项目构造/真实脱敏</w:t>
            </w:r>
          </w:p>
        </w:tc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≥3组；建议≥50用例</w:t>
            </w:r>
          </w:p>
        </w:tc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分层组合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适配度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人工标注子集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专家/团队标注</w:t>
            </w:r>
          </w:p>
        </w:tc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随机+边界案例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校准与抽检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00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19"/>
              </w:rPr>
              <w:t>注意：</w:t>
            </w: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赛题高分档明确要求测试方案完整、至少3组不同背景画像；低分档还提到测试用例不足50组。因此建议最终测试用例总量显著高于50，并说明每个指标的有效样本数。</w:t>
            </w:r>
          </w:p>
        </w:tc>
      </w:tr>
    </w:tbl>
    <w:p>
      <w:pPr>
        <w:spacing w:after="0"/>
      </w:pPr>
    </w:p>
    <w:p>
      <w:pPr>
        <w:pStyle w:val="Heading2"/>
      </w:pPr>
      <w:r>
        <w:t>8.4 专业知识谬误率评测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12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21"/>
              </w:rPr>
              <w:t>【待填写】评测方法</w:t>
            </w:r>
          </w:p>
          <w:p>
            <w:pPr>
              <w:keepNext w:val="0"/>
              <w:widowControl/>
              <w:spacing w:before="0" w:after="0" w:line="312" w:lineRule="auto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区分模型级幻觉与审核后用户可见系统级幻觉；说明规则通道、独立LLM Judge、冲突复核、人工抽检、幻觉类型和Wilson 95% CI。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2967"/>
        <w:gridCol w:w="2967"/>
        <w:gridCol w:w="2967"/>
      </w:tblGrid>
      <w:tr>
        <w:trPr>
          <w:tblHeader w:val="true"/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统计项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数值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有效样本数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【填写】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排除失败/超时的规则需提前冻结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模型级幻觉数/率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【填写】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Expert初始产出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审核拦截数/率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【填写】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被Audit拦截的幻觉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用户可见幻觉数/率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【填写】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最终系统级指标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拒答数/率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【填写】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安全拒答不计为幻觉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通道冲突数/率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【填写】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进入人工复核</w:t>
            </w:r>
          </w:p>
        </w:tc>
      </w:tr>
      <w:tr>
        <w:trPr>
          <w:cantSplit/>
        </w:trP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人工抽检一致率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【填写】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自动判定与人工结果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288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26"/>
              </w:rPr>
              <w:t>【插入图/截图】</w:t>
            </w:r>
          </w:p>
          <w:p>
            <w:pPr>
              <w:keepNext w:val="0"/>
              <w:widowControl/>
              <w:spacing w:before="0" w:after="0" w:line="312" w:lineRule="auto"/>
              <w:jc w:val="center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插入模型级/系统级幻觉率、95% CI、七类幻觉分布及典型拦截案例。图中标注N和版本。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keepNext w:val="0"/>
        <w:spacing w:before="80" w:after="160" w:line="240" w:lineRule="auto"/>
        <w:jc w:val="center"/>
      </w:pPr>
      <w:r>
        <w:rPr>
          <w:rFonts w:ascii="Times New Roman" w:hAnsi="Times New Roman" w:eastAsia="黑体"/>
          <w:color w:val="1F2937"/>
          <w:sz w:val="19"/>
        </w:rPr>
        <w:t>图8-1　幻觉率评测结果与类型分布</w:t>
      </w:r>
    </w:p>
    <w:p>
      <w:pPr>
        <w:pStyle w:val="Heading2"/>
      </w:pPr>
      <w:r>
        <w:t>8.5 画像—资源难度适配度评测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12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21"/>
              </w:rPr>
              <w:t>【待填写】评测方法</w:t>
            </w:r>
          </w:p>
          <w:p>
            <w:pPr>
              <w:keepNext w:val="0"/>
              <w:widowControl/>
              <w:spacing w:before="0" w:after="0" w:line="312" w:lineRule="auto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说明术语、前置知识、时间投入、资源形式四个维度；说明客观规则与LLM Rubric如何组合；如ResourceDraft缺少difficulty字段，应如实说明降级口径。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1272"/>
        <w:gridCol w:w="1272"/>
        <w:gridCol w:w="1272"/>
        <w:gridCol w:w="1272"/>
        <w:gridCol w:w="1272"/>
        <w:gridCol w:w="1272"/>
        <w:gridCol w:w="1272"/>
      </w:tblGrid>
      <w:tr>
        <w:trPr>
          <w:tblHeader w:val="true"/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画像组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样本数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术语适配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前置知识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时间适配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形式适配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总体通过率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P1 零基础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P2 跨专业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P3 临床从业者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合计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</w:tr>
    </w:tbl>
    <w:p>
      <w:pPr>
        <w:spacing w:after="0"/>
      </w:pPr>
    </w:p>
    <w:p>
      <w:pPr>
        <w:pStyle w:val="Heading2"/>
      </w:pPr>
      <w:r>
        <w:t>8.6 核心知识点覆盖率评测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00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19"/>
              </w:rPr>
              <w:t>注意：</w:t>
            </w: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必须明确指标测的是“知识库静态覆盖率”还是“指定资源任务覆盖率”。如果两者都测，应分别报告，不能合并为一个模糊数字。题库kp_ids缺失时采用文本关键词匹配属于降级方案，应注明局限。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tblHeader w:val="true"/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覆盖指标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分母定义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匹配/判定方法</w:t>
            </w:r>
          </w:p>
        </w:tc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样本量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结果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局限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知识库静态覆盖率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【核心知识点集合】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【节点/切片文本验证】</w:t>
            </w:r>
          </w:p>
        </w:tc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资源任务覆盖率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【任务要求知识点】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【required∩actual】</w:t>
            </w:r>
          </w:p>
        </w:tc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声明证据覆盖率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【专业声明总数】</w:t>
            </w:r>
          </w:p>
        </w:tc>
        <w:tc>
          <w:tcPr>
            <w:tcW w:type="dxa" w:w="215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【有有效证据声明数】</w:t>
            </w:r>
          </w:p>
        </w:tc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</w:tr>
    </w:tbl>
    <w:p>
      <w:pPr>
        <w:spacing w:after="0"/>
      </w:pPr>
    </w:p>
    <w:p>
      <w:pPr>
        <w:pStyle w:val="Heading2"/>
      </w:pPr>
      <w:r>
        <w:t>8.7 多智能体协同专项测试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tblHeader w:val="true"/>
          <w:cantSplit/>
        </w:trP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指标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定义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样本量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目标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结果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证据</w:t>
            </w:r>
          </w:p>
        </w:tc>
      </w:tr>
      <w:tr>
        <w:trPr>
          <w:cantSplit/>
        </w:trP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路由与依赖补全成功率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合法DAG数/请求数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</w:tr>
      <w:tr>
        <w:trPr>
          <w:cantSplit/>
        </w:trP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审核错误拦截率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被拦截已知缺陷/注入缺陷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</w:tr>
      <w:tr>
        <w:trPr>
          <w:cantSplit/>
        </w:trP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局部修复成功率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修复后通过/可修复请求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</w:tr>
      <w:tr>
        <w:trPr>
          <w:cantSplit/>
        </w:trP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中断恢复成功率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恢复完成/中断用例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</w:tr>
      <w:tr>
        <w:trPr>
          <w:cantSplit/>
        </w:trP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用户数据隔离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越权访问被拒绝/隔离用例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100%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</w:tr>
      <w:tr>
        <w:trPr>
          <w:cantSplit/>
        </w:trPr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端到端闭环成功率</w:t>
            </w:r>
          </w:p>
        </w:tc>
        <w:tc>
          <w:tcPr>
            <w:tcW w:type="dxa" w:w="289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完成写回和更新/全链路用例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【】</w:t>
            </w:r>
          </w:p>
        </w:tc>
      </w:tr>
    </w:tbl>
    <w:p>
      <w:pPr>
        <w:spacing w:after="0"/>
      </w:pPr>
    </w:p>
    <w:p>
      <w:pPr>
        <w:pStyle w:val="Heading2"/>
      </w:pPr>
      <w:r>
        <w:t>8.8 性能、稳定性与部署验证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tblHeader w:val="true"/>
          <w:cantSplit/>
        </w:trP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测试项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场景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指标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结果</w:t>
            </w:r>
          </w:p>
        </w:tc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响应时延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知识讲解/复习卡/组卷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P50/P95/最大值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【填写】</w:t>
            </w:r>
          </w:p>
        </w:tc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【填写】</w:t>
            </w:r>
          </w:p>
        </w:tc>
      </w:tr>
      <w:tr>
        <w:trPr>
          <w:cantSplit/>
        </w:trP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并发稳定性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【并发数】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成功率/错误率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【填写】</w:t>
            </w:r>
          </w:p>
        </w:tc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【填写】</w:t>
            </w:r>
          </w:p>
        </w:tc>
      </w:tr>
      <w:tr>
        <w:trPr>
          <w:cantSplit/>
        </w:trP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降级能力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向量通道故障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Bridge/BM25可用性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【填写】</w:t>
            </w:r>
          </w:p>
        </w:tc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【填写】</w:t>
            </w:r>
          </w:p>
        </w:tc>
      </w:tr>
      <w:tr>
        <w:trPr>
          <w:cantSplit/>
        </w:trP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恢复能力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刷新/断线/重启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恢复成功率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【填写】</w:t>
            </w:r>
          </w:p>
        </w:tc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【填写】</w:t>
            </w:r>
          </w:p>
        </w:tc>
      </w:tr>
      <w:tr>
        <w:trPr>
          <w:cantSplit/>
        </w:trP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部署验证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全新环境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启动耗时/步骤/健康检查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【填写】</w:t>
            </w:r>
          </w:p>
        </w:tc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【填写】</w:t>
            </w:r>
          </w:p>
        </w:tc>
      </w:tr>
    </w:tbl>
    <w:p>
      <w:pPr>
        <w:spacing w:after="0"/>
      </w:pPr>
    </w:p>
    <w:p>
      <w:pPr>
        <w:pStyle w:val="Heading2"/>
      </w:pPr>
      <w:r>
        <w:t>8.9 结果汇总与失败案例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12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21"/>
              </w:rPr>
              <w:t>【待填写】测试结论</w:t>
            </w:r>
          </w:p>
          <w:p>
            <w:pPr>
              <w:keepNext w:val="0"/>
              <w:widowControl/>
              <w:spacing w:before="0" w:after="0" w:line="312" w:lineRule="auto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只根据实测值给出结论。说明达标项、未达标项、统计不确定性、主要失败模式、修复计划和重新评测安排。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1272"/>
        <w:gridCol w:w="1272"/>
        <w:gridCol w:w="1272"/>
        <w:gridCol w:w="1272"/>
        <w:gridCol w:w="1272"/>
        <w:gridCol w:w="1272"/>
        <w:gridCol w:w="1272"/>
      </w:tblGrid>
      <w:tr>
        <w:trPr>
          <w:tblHeader w:val="true"/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失败案例ID</w:t>
            </w:r>
          </w:p>
        </w:tc>
        <w:tc>
          <w:tcPr>
            <w:tcW w:type="dxa" w:w="192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画像/输入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失败节点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问题类型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是否被审核拦截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处理结果</w:t>
            </w:r>
          </w:p>
        </w:tc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快照路径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【ID】</w:t>
            </w:r>
          </w:p>
        </w:tc>
        <w:tc>
          <w:tcPr>
            <w:tcW w:type="dxa" w:w="192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【摘要】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【节点】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【类型】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【是/否】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【结果】</w:t>
            </w:r>
          </w:p>
        </w:tc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【路径】</w:t>
            </w:r>
          </w:p>
        </w:tc>
      </w:tr>
      <w:tr>
        <w:trPr>
          <w:cantSplit/>
        </w:trPr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【ID】</w:t>
            </w:r>
          </w:p>
        </w:tc>
        <w:tc>
          <w:tcPr>
            <w:tcW w:type="dxa" w:w="192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【摘要】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【节点】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【类型】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【是/否】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【结果】</w:t>
            </w:r>
          </w:p>
        </w:tc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【路径】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第九章　工程实现、部署与交付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4451"/>
        <w:gridCol w:w="4451"/>
      </w:tblGrid>
      <w:tr>
        <w:trPr>
          <w:tblHeader w:val="true"/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对应评分项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完整性30分、提交形式要求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本章目标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证明源代码、部署说明、测试和数据能够独立移交、复现和验收。</w:t>
            </w:r>
          </w:p>
        </w:tc>
      </w:tr>
      <w:tr>
        <w:trPr>
          <w:cantSplit/>
        </w:trPr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建议证据</w:t>
            </w:r>
          </w:p>
        </w:tc>
        <w:tc>
          <w:tcPr>
            <w:tcW w:type="dxa" w:w="70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技术栈、仓库结构、部署步骤、质量基线、提交物清单。</w:t>
            </w:r>
          </w:p>
        </w:tc>
      </w:tr>
    </w:tbl>
    <w:p>
      <w:pPr>
        <w:spacing w:after="0"/>
      </w:pPr>
    </w:p>
    <w:p>
      <w:pPr>
        <w:pStyle w:val="Heading2"/>
      </w:pPr>
      <w:r>
        <w:t>9.1 技术栈与选型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tblHeader w:val="true"/>
          <w:cantSplit/>
        </w:trPr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层次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技术/组件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当前版本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选型理由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替换边界</w:t>
            </w:r>
          </w:p>
        </w:tc>
      </w:tr>
      <w:tr>
        <w:trPr>
          <w:cantSplit/>
        </w:trPr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前端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React + Vite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正式产品体验与组件化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</w:tr>
      <w:tr>
        <w:trPr>
          <w:cantSplit/>
        </w:trPr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后端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FastAPI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异步接口、OpenAPI、同源托管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</w:tr>
      <w:tr>
        <w:trPr>
          <w:cantSplit/>
        </w:trPr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智能体运行时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LangGraph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DAG、中断恢复、检查点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</w:tr>
      <w:tr>
        <w:trPr>
          <w:cantSplit/>
        </w:trPr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数据库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MySQL + SQLAlchemy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用户数据与运行状态持久化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</w:tr>
      <w:tr>
        <w:trPr>
          <w:cantSplit/>
        </w:trPr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检索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Bridge/BM25/FAISS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精确、词法和语义互补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</w:tr>
      <w:tr>
        <w:trPr>
          <w:cantSplit/>
        </w:trPr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模型接入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OpenAI兼容接口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【提交版本实际模型】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保持模型可替换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</w:tr>
      <w:tr>
        <w:trPr>
          <w:cantSplit/>
        </w:trPr>
        <w:tc>
          <w:tcPr>
            <w:tcW w:type="dxa" w:w="1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Embedding</w:t>
            </w:r>
          </w:p>
        </w:tc>
        <w:tc>
          <w:tcPr>
            <w:tcW w:type="dxa" w:w="204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  <w:tc>
          <w:tcPr>
            <w:tcW w:type="dxa" w:w="272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知识和题目语义检索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</w:tr>
    </w:tbl>
    <w:p>
      <w:pPr>
        <w:spacing w:after="0"/>
      </w:pPr>
    </w:p>
    <w:p>
      <w:pPr>
        <w:pStyle w:val="Heading2"/>
      </w:pPr>
      <w:r>
        <w:t>9.2 仓库与模块结构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288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26"/>
              </w:rPr>
              <w:t>【插入图/截图】</w:t>
            </w:r>
          </w:p>
          <w:p>
            <w:pPr>
              <w:keepNext w:val="0"/>
              <w:widowControl/>
              <w:spacing w:before="0" w:after="0" w:line="312" w:lineRule="auto"/>
              <w:jc w:val="center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根据提交仓库生成：frontend/llm、backend/competition_app、backend/platform_backend、evaluation_delivery、assets、docs。标注活动代码、公共资产、运行数据和历史资料边界。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keepNext w:val="0"/>
        <w:spacing w:before="80" w:after="160" w:line="240" w:lineRule="auto"/>
        <w:jc w:val="center"/>
      </w:pPr>
      <w:r>
        <w:rPr>
          <w:rFonts w:ascii="Times New Roman" w:hAnsi="Times New Roman" w:eastAsia="黑体"/>
          <w:color w:val="1F2937"/>
          <w:sz w:val="19"/>
        </w:rPr>
        <w:t>图9-1　项目目录与模块关系</w:t>
      </w:r>
    </w:p>
    <w:p>
      <w:pPr>
        <w:pStyle w:val="Heading2"/>
      </w:pPr>
      <w:r>
        <w:t>9.3 核心实现与代码证据索引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2225"/>
        <w:gridCol w:w="2225"/>
        <w:gridCol w:w="2225"/>
        <w:gridCol w:w="2225"/>
      </w:tblGrid>
      <w:tr>
        <w:trPr>
          <w:tblHeader w:val="true"/>
          <w:cantSplit/>
        </w:trPr>
        <w:tc>
          <w:tcPr>
            <w:tcW w:type="dxa" w:w="16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能力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关键模块/代码路径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核心测试</w:t>
            </w:r>
          </w:p>
        </w:tc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正文对应</w:t>
            </w:r>
          </w:p>
        </w:tc>
      </w:tr>
      <w:tr>
        <w:trPr>
          <w:cantSplit/>
        </w:trPr>
        <w:tc>
          <w:tcPr>
            <w:tcW w:type="dxa" w:w="16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任务规划与DAG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backend/competition_app/agents/planner.py；runtime/langgraph_orchestrator.py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第4章</w:t>
            </w:r>
          </w:p>
        </w:tc>
      </w:tr>
      <w:tr>
        <w:trPr>
          <w:cantSplit/>
        </w:trPr>
        <w:tc>
          <w:tcPr>
            <w:tcW w:type="dxa" w:w="16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知识检索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agents/knowledge_base.py；tools/knowledge_retrieval.py；question_retrieval.py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第4、5章</w:t>
            </w:r>
          </w:p>
        </w:tc>
      </w:tr>
      <w:tr>
        <w:trPr>
          <w:cantSplit/>
        </w:trPr>
        <w:tc>
          <w:tcPr>
            <w:tcW w:type="dxa" w:w="16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专家与审核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agents/expert.py；agents/audit.py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第4章</w:t>
            </w:r>
          </w:p>
        </w:tc>
      </w:tr>
      <w:tr>
        <w:trPr>
          <w:cantSplit/>
        </w:trPr>
        <w:tc>
          <w:tcPr>
            <w:tcW w:type="dxa" w:w="16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学习规划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agents/diagnosis.py；services/learning_plan.py；plan_change_gate.py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第5章</w:t>
            </w:r>
          </w:p>
        </w:tc>
      </w:tr>
      <w:tr>
        <w:trPr>
          <w:cantSplit/>
        </w:trPr>
        <w:tc>
          <w:tcPr>
            <w:tcW w:type="dxa" w:w="16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复习与写回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agents/review_scheduler.py；services/review.py；writeback.py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第5章</w:t>
            </w:r>
          </w:p>
        </w:tc>
      </w:tr>
      <w:tr>
        <w:trPr>
          <w:cantSplit/>
        </w:trPr>
        <w:tc>
          <w:tcPr>
            <w:tcW w:type="dxa" w:w="16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评测框架</w:t>
            </w:r>
          </w:p>
        </w:tc>
        <w:tc>
          <w:tcPr>
            <w:tcW w:type="dxa" w:w="442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evaluation_delivery/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第8章</w:t>
            </w:r>
          </w:p>
        </w:tc>
      </w:tr>
    </w:tbl>
    <w:p>
      <w:pPr>
        <w:spacing w:after="0"/>
      </w:pPr>
    </w:p>
    <w:p>
      <w:pPr>
        <w:pStyle w:val="Heading2"/>
      </w:pPr>
      <w:r>
        <w:t>9.4 部署、启动与健康检查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12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21"/>
              </w:rPr>
              <w:t>【待填写】最小部署流程</w:t>
            </w:r>
          </w:p>
          <w:p>
            <w:pPr>
              <w:keepNext w:val="0"/>
              <w:widowControl/>
              <w:spacing w:before="0" w:after="0" w:line="312" w:lineRule="auto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用不超过一页说明Python/Node/MySQL版本、依赖安装、环境变量、数据库初始化、前端构建、后端启动、访问地址和健康检查。完整命令引用部署附件。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2225"/>
        <w:gridCol w:w="2225"/>
        <w:gridCol w:w="2225"/>
        <w:gridCol w:w="2225"/>
      </w:tblGrid>
      <w:tr>
        <w:trPr>
          <w:tblHeader w:val="true"/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运行模式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外部依赖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用途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启动验证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Stub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无需真实模型/向量/数据库或按实际填写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联调、演示回归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【填写】</w:t>
            </w:r>
          </w:p>
        </w:tc>
      </w:tr>
      <w:tr>
        <w:trPr>
          <w:cantSplit/>
        </w:trP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Live</w:t>
            </w:r>
          </w:p>
        </w:tc>
        <w:tc>
          <w:tcPr>
            <w:tcW w:type="dxa" w:w="306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模型密钥、Embedding、知识资产、数据库</w:t>
            </w:r>
          </w:p>
        </w:tc>
        <w:tc>
          <w:tcPr>
            <w:tcW w:type="dxa" w:w="249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真实集成和核心指标评测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【填写】</w:t>
            </w:r>
          </w:p>
        </w:tc>
      </w:tr>
    </w:tbl>
    <w:p>
      <w:pPr>
        <w:spacing w:after="0"/>
      </w:pPr>
    </w:p>
    <w:p>
      <w:pPr>
        <w:pStyle w:val="Heading2"/>
      </w:pPr>
      <w:r>
        <w:t>9.5 测试基线与质量保障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tblHeader w:val="true"/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质量门禁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命令/工具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当前结果</w:t>
            </w:r>
          </w:p>
        </w:tc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日期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备注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后端非Live测试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pytest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【通过/跳过/失败数量】</w:t>
            </w:r>
          </w:p>
        </w:tc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【日期】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不得使用过期基线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前端单元测试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【命令】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【日期】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前端Lint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【命令】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【日期】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生产构建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【命令】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【日期】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Live验收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前端运行台 Execute</w:t>
            </w:r>
          </w:p>
        </w:tc>
        <w:tc>
          <w:tcPr>
            <w:tcW w:type="dxa" w:w="175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【日期】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不得从WSL命令行运行Live pytest</w:t>
            </w:r>
          </w:p>
        </w:tc>
      </w:tr>
    </w:tbl>
    <w:p>
      <w:pPr>
        <w:spacing w:after="0"/>
      </w:pPr>
    </w:p>
    <w:p>
      <w:pPr>
        <w:pStyle w:val="Heading2"/>
      </w:pPr>
      <w:r>
        <w:t>9.6 数据资产与移交说明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tblHeader w:val="true"/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资产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提交/提供方式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版本与校验</w:t>
            </w:r>
          </w:p>
        </w:tc>
        <w:tc>
          <w:tcPr>
            <w:tcW w:type="dxa" w:w="192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授权与脱敏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复现说明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专业知识库切片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【压缩包/共享盘】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【manifest/hash】</w:t>
            </w:r>
          </w:p>
        </w:tc>
        <w:tc>
          <w:tcPr>
            <w:tcW w:type="dxa" w:w="192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差异化画像与完整I/O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【JSONL/附件】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【版本】</w:t>
            </w:r>
          </w:p>
        </w:tc>
        <w:tc>
          <w:tcPr>
            <w:tcW w:type="dxa" w:w="192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【脱敏方式】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向量索引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【共享盘/重建脚本】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【版本】</w:t>
            </w:r>
          </w:p>
        </w:tc>
        <w:tc>
          <w:tcPr>
            <w:tcW w:type="dxa" w:w="192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评测原始结果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evaluation_delivery/outputs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【run tag】</w:t>
            </w:r>
          </w:p>
        </w:tc>
        <w:tc>
          <w:tcPr>
            <w:tcW w:type="dxa" w:w="192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</w:tr>
      <w:tr>
        <w:trPr>
          <w:cantSplit/>
        </w:trPr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执行快照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【路径】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【run tag】</w:t>
            </w:r>
          </w:p>
        </w:tc>
        <w:tc>
          <w:tcPr>
            <w:tcW w:type="dxa" w:w="192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【安全摘要】</w:t>
            </w:r>
          </w:p>
        </w:tc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</w:tr>
    </w:tbl>
    <w:p>
      <w:pPr>
        <w:spacing w:after="0"/>
      </w:pPr>
    </w:p>
    <w:p>
      <w:pPr>
        <w:pStyle w:val="Heading2"/>
      </w:pPr>
      <w:r>
        <w:t>9.7 参赛提交物检查清单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tblHeader w:val="true"/>
          <w:cantSplit/>
        </w:trPr>
        <w:tc>
          <w:tcPr>
            <w:tcW w:type="dxa" w:w="20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5"/>
              </w:rPr>
              <w:t>提交物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5"/>
              </w:rPr>
              <w:t>赛题要求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5"/>
              </w:rPr>
              <w:t>状态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5"/>
              </w:rPr>
              <w:t>版本/路径</w:t>
            </w:r>
          </w:p>
        </w:tc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5"/>
              </w:rPr>
              <w:t>负责人</w:t>
            </w:r>
          </w:p>
        </w:tc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5"/>
              </w:rPr>
              <w:t>复核人</w:t>
            </w:r>
          </w:p>
        </w:tc>
      </w:tr>
      <w:tr>
        <w:trPr>
          <w:cantSplit/>
        </w:trPr>
        <w:tc>
          <w:tcPr>
            <w:tcW w:type="dxa" w:w="20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作品设计实现方案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必需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□待完成 □已完成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【本文件】</w:t>
            </w:r>
          </w:p>
        </w:tc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【】</w:t>
            </w:r>
          </w:p>
        </w:tc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【】</w:t>
            </w:r>
          </w:p>
        </w:tc>
      </w:tr>
      <w:tr>
        <w:trPr>
          <w:cantSplit/>
        </w:trPr>
        <w:tc>
          <w:tcPr>
            <w:tcW w:type="dxa" w:w="20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作品介绍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必需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□待完成 □已完成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【路径】</w:t>
            </w:r>
          </w:p>
        </w:tc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【】</w:t>
            </w:r>
          </w:p>
        </w:tc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【】</w:t>
            </w:r>
          </w:p>
        </w:tc>
      </w:tr>
      <w:tr>
        <w:trPr>
          <w:cantSplit/>
        </w:trPr>
        <w:tc>
          <w:tcPr>
            <w:tcW w:type="dxa" w:w="20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答辩PPT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提交方式明确列出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□待完成 □已完成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【路径】</w:t>
            </w:r>
          </w:p>
        </w:tc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【】</w:t>
            </w:r>
          </w:p>
        </w:tc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【】</w:t>
            </w:r>
          </w:p>
        </w:tc>
      </w:tr>
      <w:tr>
        <w:trPr>
          <w:cantSplit/>
        </w:trPr>
        <w:tc>
          <w:tcPr>
            <w:tcW w:type="dxa" w:w="20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10分钟内演示视频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必需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□待完成 □已完成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【路径】</w:t>
            </w:r>
          </w:p>
        </w:tc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【】</w:t>
            </w:r>
          </w:p>
        </w:tc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【】</w:t>
            </w:r>
          </w:p>
        </w:tc>
      </w:tr>
      <w:tr>
        <w:trPr>
          <w:cantSplit/>
        </w:trPr>
        <w:tc>
          <w:tcPr>
            <w:tcW w:type="dxa" w:w="20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源代码/仓库权限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必需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□待完成 □已完成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【URL/commit】</w:t>
            </w:r>
          </w:p>
        </w:tc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【】</w:t>
            </w:r>
          </w:p>
        </w:tc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【】</w:t>
            </w:r>
          </w:p>
        </w:tc>
      </w:tr>
      <w:tr>
        <w:trPr>
          <w:cantSplit/>
        </w:trPr>
        <w:tc>
          <w:tcPr>
            <w:tcW w:type="dxa" w:w="20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可执行程序（如有）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可选/如有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□不适用 □已完成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【路径】</w:t>
            </w:r>
          </w:p>
        </w:tc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【】</w:t>
            </w:r>
          </w:p>
        </w:tc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【】</w:t>
            </w:r>
          </w:p>
        </w:tc>
      </w:tr>
      <w:tr>
        <w:trPr>
          <w:cantSplit/>
        </w:trPr>
        <w:tc>
          <w:tcPr>
            <w:tcW w:type="dxa" w:w="20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部署说明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必需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□待完成 □已完成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docs/deployment.md</w:t>
            </w:r>
          </w:p>
        </w:tc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【】</w:t>
            </w:r>
          </w:p>
        </w:tc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【】</w:t>
            </w:r>
          </w:p>
        </w:tc>
      </w:tr>
      <w:tr>
        <w:trPr>
          <w:cantSplit/>
        </w:trPr>
        <w:tc>
          <w:tcPr>
            <w:tcW w:type="dxa" w:w="20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单元测试用例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必需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□待完成 □已完成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【路径】</w:t>
            </w:r>
          </w:p>
        </w:tc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【】</w:t>
            </w:r>
          </w:p>
        </w:tc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【】</w:t>
            </w:r>
          </w:p>
        </w:tc>
      </w:tr>
      <w:tr>
        <w:trPr>
          <w:cantSplit/>
        </w:trPr>
        <w:tc>
          <w:tcPr>
            <w:tcW w:type="dxa" w:w="20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专业知识库切片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必需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□待完成 □已完成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【路径】</w:t>
            </w:r>
          </w:p>
        </w:tc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【】</w:t>
            </w:r>
          </w:p>
        </w:tc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【】</w:t>
            </w:r>
          </w:p>
        </w:tc>
      </w:tr>
      <w:tr>
        <w:trPr>
          <w:cantSplit/>
        </w:trPr>
        <w:tc>
          <w:tcPr>
            <w:tcW w:type="dxa" w:w="20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≥3组差异化画像及完整I/O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高分要求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□待完成 □已完成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【路径】</w:t>
            </w:r>
          </w:p>
        </w:tc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【】</w:t>
            </w:r>
          </w:p>
        </w:tc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【】</w:t>
            </w:r>
          </w:p>
        </w:tc>
      </w:tr>
      <w:tr>
        <w:trPr>
          <w:cantSplit/>
        </w:trPr>
        <w:tc>
          <w:tcPr>
            <w:tcW w:type="dxa" w:w="20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三项指标测试报告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高分要求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□待完成 □已完成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【路径】</w:t>
            </w:r>
          </w:p>
        </w:tc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【】</w:t>
            </w:r>
          </w:p>
        </w:tc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【】</w:t>
            </w:r>
          </w:p>
        </w:tc>
      </w:tr>
      <w:tr>
        <w:trPr>
          <w:cantSplit/>
        </w:trPr>
        <w:tc>
          <w:tcPr>
            <w:tcW w:type="dxa" w:w="20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报名表与学校盖章材料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必需</w:t>
            </w:r>
          </w:p>
        </w:tc>
        <w:tc>
          <w:tcPr>
            <w:tcW w:type="dxa" w:w="181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□待完成 □已完成</w:t>
            </w:r>
          </w:p>
        </w:tc>
        <w:tc>
          <w:tcPr>
            <w:tcW w:type="dxa" w:w="19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【路径】</w:t>
            </w:r>
          </w:p>
        </w:tc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【】</w:t>
            </w:r>
          </w:p>
        </w:tc>
        <w:tc>
          <w:tcPr>
            <w:tcW w:type="dxa" w:w="90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5"/>
              </w:rPr>
              <w:t>【】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第十章　项目总结与未来工作</w:t>
      </w:r>
    </w:p>
    <w:p>
      <w:pPr>
        <w:pStyle w:val="Heading2"/>
      </w:pPr>
      <w:r>
        <w:t>10.1 项目成果总结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12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21"/>
              </w:rPr>
              <w:t>【待填写】成果总结</w:t>
            </w:r>
          </w:p>
          <w:p>
            <w:pPr>
              <w:keepNext w:val="0"/>
              <w:widowControl/>
              <w:spacing w:before="0" w:after="0" w:line="312" w:lineRule="auto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围绕赛题四个评分维度总结，不重复摘要。重点写已经完成并有证据的能力和实际指标。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spacing w:after="0"/>
      </w:pPr>
    </w:p>
    <w:p>
      <w:pPr>
        <w:pStyle w:val="Heading2"/>
      </w:pPr>
      <w:r>
        <w:t>10.2 技术、应用与社会价值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2225"/>
        <w:gridCol w:w="2225"/>
        <w:gridCol w:w="2225"/>
        <w:gridCol w:w="2225"/>
      </w:tblGrid>
      <w:tr>
        <w:trPr>
          <w:tblHeader w:val="true"/>
          <w:cantSplit/>
        </w:trPr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价值维度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当前价值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证据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未来验证</w:t>
            </w:r>
          </w:p>
        </w:tc>
      </w:tr>
      <w:tr>
        <w:trPr>
          <w:cantSplit/>
        </w:trPr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技术价值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【可信协同、动态规划等】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【代码/测试】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【填写】</w:t>
            </w:r>
          </w:p>
        </w:tc>
      </w:tr>
      <w:tr>
        <w:trPr>
          <w:cantSplit/>
        </w:trPr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教育价值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【个性化资源与学习闭环】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【场景/用户反馈】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【真实学习增益实验】</w:t>
            </w:r>
          </w:p>
        </w:tc>
      </w:tr>
      <w:tr>
        <w:trPr>
          <w:cantSplit/>
        </w:trPr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经济价值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【资源生产和维护成本】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【成本测算】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【规模化验证】</w:t>
            </w:r>
          </w:p>
        </w:tc>
      </w:tr>
      <w:tr>
        <w:trPr>
          <w:cantSplit/>
        </w:trPr>
        <w:tc>
          <w:tcPr>
            <w:tcW w:type="dxa" w:w="153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社会价值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【中医药教育普惠与传承】</w:t>
            </w:r>
          </w:p>
        </w:tc>
        <w:tc>
          <w:tcPr>
            <w:tcW w:type="dxa" w:w="2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【覆盖场景】</w:t>
            </w:r>
          </w:p>
        </w:tc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【推广计划】</w:t>
            </w:r>
          </w:p>
        </w:tc>
      </w:tr>
    </w:tbl>
    <w:p>
      <w:pPr>
        <w:spacing w:after="0"/>
      </w:pPr>
    </w:p>
    <w:p>
      <w:pPr>
        <w:pStyle w:val="Heading2"/>
      </w:pPr>
      <w:r>
        <w:t>10.3 可行性与局限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12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21"/>
              </w:rPr>
              <w:t>【待填写】可行性与局限</w:t>
            </w:r>
          </w:p>
          <w:p>
            <w:pPr>
              <w:keepNext w:val="0"/>
              <w:widowControl/>
              <w:spacing w:before="0" w:after="0" w:line="312" w:lineRule="auto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分别说明技术、部署、成本和合规可行性；如实列出当前数据质量、评测规模、模型依赖、教育效果尚未长期验证等局限。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spacing w:after="0"/>
      </w:pPr>
    </w:p>
    <w:p>
      <w:pPr>
        <w:pStyle w:val="Heading2"/>
      </w:pPr>
      <w:r>
        <w:t>10.4 未来工作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12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21"/>
              </w:rPr>
              <w:t>【待填写】未来工作</w:t>
            </w:r>
          </w:p>
          <w:p>
            <w:pPr>
              <w:keepNext w:val="0"/>
              <w:widowControl/>
              <w:spacing w:before="0" w:after="0" w:line="312" w:lineRule="auto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按近期提交前、中期真实用户验证、长期跨领域迁移分层撰写。避免把未来计划混入已完成成果。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参考文献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00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19"/>
              </w:rPr>
              <w:t>说明：</w:t>
            </w: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采用统一格式，建议使用GB/T 7714—2015。正文中的关键算法、基准数据集、教育理论和行业规范都应有对应引用。删除所有“在此处填写”占位符后再提交。</w:t>
            </w:r>
          </w:p>
        </w:tc>
      </w:tr>
    </w:tbl>
    <w:p>
      <w:pPr>
        <w:spacing w:after="0"/>
      </w:pPr>
    </w:p>
    <w:p>
      <w:pPr>
        <w:keepNext w:val="0"/>
        <w:spacing w:before="0" w:after="80" w:line="360" w:lineRule="auto"/>
      </w:pPr>
      <w:r>
        <w:rPr>
          <w:rFonts w:ascii="Times New Roman" w:hAnsi="Times New Roman" w:eastAsia="宋体"/>
        </w:rPr>
        <w:t>[1] 【作者. 文献题名[类型]. 出版物/会议, 年份, 卷(期): 页码. DOI/URL】</w:t>
      </w:r>
    </w:p>
    <w:p>
      <w:pPr>
        <w:keepNext w:val="0"/>
        <w:spacing w:before="0" w:after="80" w:line="360" w:lineRule="auto"/>
      </w:pPr>
      <w:r>
        <w:rPr>
          <w:rFonts w:ascii="Times New Roman" w:hAnsi="Times New Roman" w:eastAsia="宋体"/>
        </w:rPr>
        <w:t>[2] 【作者. 文献题名[类型]. 出版物/会议, 年份, 卷(期): 页码. DOI/URL】</w:t>
      </w:r>
    </w:p>
    <w:p>
      <w:pPr>
        <w:keepNext w:val="0"/>
        <w:spacing w:before="0" w:after="80" w:line="360" w:lineRule="auto"/>
      </w:pPr>
      <w:r>
        <w:rPr>
          <w:rFonts w:ascii="Times New Roman" w:hAnsi="Times New Roman" w:eastAsia="宋体"/>
        </w:rPr>
        <w:t>[3] 【作者. 文献题名[类型]. 出版物/会议, 年份, 卷(期): 页码. DOI/URL】</w:t>
      </w:r>
    </w:p>
    <w:p>
      <w:pPr>
        <w:keepNext w:val="0"/>
        <w:spacing w:before="0" w:after="80" w:line="360" w:lineRule="auto"/>
      </w:pPr>
      <w:r>
        <w:rPr>
          <w:rFonts w:ascii="Times New Roman" w:hAnsi="Times New Roman" w:eastAsia="宋体"/>
        </w:rPr>
        <w:t>[4] 【作者. 文献题名[类型]. 出版物/会议, 年份, 卷(期): 页码. DOI/URL】</w:t>
      </w:r>
    </w:p>
    <w:p>
      <w:pPr>
        <w:keepNext w:val="0"/>
        <w:spacing w:before="0" w:after="80" w:line="360" w:lineRule="auto"/>
      </w:pPr>
      <w:r>
        <w:rPr>
          <w:rFonts w:ascii="Times New Roman" w:hAnsi="Times New Roman" w:eastAsia="宋体"/>
        </w:rPr>
        <w:t>[5] 【作者. 文献题名[类型]. 出版物/会议, 年份, 卷(期): 页码. DOI/URL】</w:t>
      </w:r>
    </w:p>
    <w:p>
      <w:pPr>
        <w:keepNext w:val="0"/>
        <w:spacing w:before="0" w:after="80" w:line="360" w:lineRule="auto"/>
      </w:pPr>
      <w:r>
        <w:rPr>
          <w:rFonts w:ascii="Times New Roman" w:hAnsi="Times New Roman" w:eastAsia="宋体"/>
        </w:rPr>
        <w:t>[6] 【作者. 文献题名[类型]. 出版物/会议, 年份, 卷(期): 页码. DOI/URL】</w:t>
      </w:r>
    </w:p>
    <w:p>
      <w:pPr>
        <w:keepNext w:val="0"/>
        <w:spacing w:before="0" w:after="80" w:line="360" w:lineRule="auto"/>
      </w:pPr>
      <w:r>
        <w:rPr>
          <w:rFonts w:ascii="Times New Roman" w:hAnsi="Times New Roman" w:eastAsia="宋体"/>
        </w:rPr>
        <w:t>[7] 【作者. 文献题名[类型]. 出版物/会议, 年份, 卷(期): 页码. DOI/URL】</w:t>
      </w:r>
    </w:p>
    <w:p>
      <w:pPr>
        <w:keepNext w:val="0"/>
        <w:spacing w:before="0" w:after="80" w:line="360" w:lineRule="auto"/>
      </w:pPr>
      <w:r>
        <w:rPr>
          <w:rFonts w:ascii="Times New Roman" w:hAnsi="Times New Roman" w:eastAsia="宋体"/>
        </w:rPr>
        <w:t>[8] 【作者. 文献题名[类型]. 出版物/会议, 年份, 卷(期): 页码. DOI/URL】</w:t>
      </w:r>
    </w:p>
    <w:p>
      <w:r>
        <w:br w:type="page"/>
      </w:r>
    </w:p>
    <w:p>
      <w:pPr>
        <w:pStyle w:val="Heading1"/>
      </w:pPr>
      <w:r>
        <w:t>附录A　术语与缩略语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2967"/>
        <w:gridCol w:w="2967"/>
        <w:gridCol w:w="2967"/>
      </w:tblGrid>
      <w:tr>
        <w:trPr>
          <w:tblHeader w:val="true"/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术语/缩写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中文名称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本文定义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Agent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智能体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【填写】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DAG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有向无环图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【填写】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RAG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检索增强生成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【填写】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KP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知识点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【填写】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EvidencePack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证据包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【填写】</w:t>
            </w:r>
          </w:p>
        </w:tc>
      </w:tr>
      <w:tr>
        <w:trPr>
          <w:cantSplit/>
        </w:trPr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AgentHandoffBundle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智能体交接契约</w:t>
            </w:r>
          </w:p>
        </w:tc>
        <w:tc>
          <w:tcPr>
            <w:tcW w:type="dxa" w:w="45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【填写】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附录B　差异化画像与完整输入输出样例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20" w:type="dxa"/>
              <w:start w:w="160" w:type="dxa"/>
              <w:bottom w:w="120" w:type="dxa"/>
              <w:end w:w="16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00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19"/>
              </w:rPr>
              <w:t>说明：</w:t>
            </w: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赛题要求测试数据包含输入画像特征、多智能体协同决策中间数据和最终个性化资源。每组样例均应提供这些部分，并完成脱敏。</w:t>
            </w:r>
          </w:p>
        </w:tc>
      </w:tr>
    </w:tbl>
    <w:p>
      <w:pPr>
        <w:spacing w:after="0"/>
      </w:pPr>
    </w:p>
    <w:p>
      <w:pPr>
        <w:pStyle w:val="Heading2"/>
      </w:pPr>
      <w:r>
        <w:t>B.1 P1 零基础学习者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12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21"/>
              </w:rPr>
              <w:t>【待填写】初始画像输入</w:t>
            </w:r>
          </w:p>
          <w:p>
            <w:pPr>
              <w:keepNext w:val="0"/>
              <w:widowControl/>
              <w:spacing w:before="0" w:after="0" w:line="312" w:lineRule="auto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粘贴结构化字段摘要或表格；原始JSON可放技术附件。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12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21"/>
              </w:rPr>
              <w:t>【待填写】协同决策中间数据</w:t>
            </w:r>
          </w:p>
          <w:p>
            <w:pPr>
              <w:keepNext w:val="0"/>
              <w:widowControl/>
              <w:spacing w:before="0" w:after="0" w:line="312" w:lineRule="auto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任务类型、参与角色、诊断摘要、检索证据、审核结果和执行ID。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12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21"/>
              </w:rPr>
              <w:t>【待填写】最终个性化资源</w:t>
            </w:r>
          </w:p>
          <w:p>
            <w:pPr>
              <w:keepNext w:val="0"/>
              <w:widowControl/>
              <w:spacing w:before="0" w:after="0" w:line="312" w:lineRule="auto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插入资源摘要或截图，标注难度、时长、证据和审核状态。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12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21"/>
              </w:rPr>
              <w:t>【待填写】学习后状态变化</w:t>
            </w:r>
          </w:p>
          <w:p>
            <w:pPr>
              <w:keepNext w:val="0"/>
              <w:widowControl/>
              <w:spacing w:before="0" w:after="0" w:line="312" w:lineRule="auto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掌握度、复习队列、画像或计划版本前后对比。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spacing w:after="0"/>
      </w:pPr>
    </w:p>
    <w:p>
      <w:pPr>
        <w:pStyle w:val="Heading2"/>
      </w:pPr>
      <w:r>
        <w:t>B.2 P2 跨专业在职学习者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12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21"/>
              </w:rPr>
              <w:t>【待填写】初始画像输入</w:t>
            </w:r>
          </w:p>
          <w:p>
            <w:pPr>
              <w:keepNext w:val="0"/>
              <w:widowControl/>
              <w:spacing w:before="0" w:after="0" w:line="312" w:lineRule="auto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粘贴结构化字段摘要或表格；原始JSON可放技术附件。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12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21"/>
              </w:rPr>
              <w:t>【待填写】协同决策中间数据</w:t>
            </w:r>
          </w:p>
          <w:p>
            <w:pPr>
              <w:keepNext w:val="0"/>
              <w:widowControl/>
              <w:spacing w:before="0" w:after="0" w:line="312" w:lineRule="auto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任务类型、参与角色、诊断摘要、检索证据、审核结果和执行ID。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12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21"/>
              </w:rPr>
              <w:t>【待填写】最终个性化资源</w:t>
            </w:r>
          </w:p>
          <w:p>
            <w:pPr>
              <w:keepNext w:val="0"/>
              <w:widowControl/>
              <w:spacing w:before="0" w:after="0" w:line="312" w:lineRule="auto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插入资源摘要或截图，标注难度、时长、证据和审核状态。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12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21"/>
              </w:rPr>
              <w:t>【待填写】学习后状态变化</w:t>
            </w:r>
          </w:p>
          <w:p>
            <w:pPr>
              <w:keepNext w:val="0"/>
              <w:widowControl/>
              <w:spacing w:before="0" w:after="0" w:line="312" w:lineRule="auto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掌握度、复习队列、画像或计划版本前后对比。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spacing w:after="0"/>
      </w:pPr>
    </w:p>
    <w:p>
      <w:pPr>
        <w:pStyle w:val="Heading2"/>
      </w:pPr>
      <w:r>
        <w:t>B.3 P3 临床从业者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12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21"/>
              </w:rPr>
              <w:t>【待填写】初始画像输入</w:t>
            </w:r>
          </w:p>
          <w:p>
            <w:pPr>
              <w:keepNext w:val="0"/>
              <w:widowControl/>
              <w:spacing w:before="0" w:after="0" w:line="312" w:lineRule="auto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粘贴结构化字段摘要或表格；原始JSON可放技术附件。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12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21"/>
              </w:rPr>
              <w:t>【待填写】协同决策中间数据</w:t>
            </w:r>
          </w:p>
          <w:p>
            <w:pPr>
              <w:keepNext w:val="0"/>
              <w:widowControl/>
              <w:spacing w:before="0" w:after="0" w:line="312" w:lineRule="auto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任务类型、参与角色、诊断摘要、检索证据、审核结果和执行ID。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12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21"/>
              </w:rPr>
              <w:t>【待填写】最终个性化资源</w:t>
            </w:r>
          </w:p>
          <w:p>
            <w:pPr>
              <w:keepNext w:val="0"/>
              <w:widowControl/>
              <w:spacing w:before="0" w:after="0" w:line="312" w:lineRule="auto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插入资源摘要或截图，标注难度、时长、证据和审核状态。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312" w:lineRule="auto"/>
            </w:pPr>
            <w:r>
              <w:rPr>
                <w:rFonts w:ascii="Times New Roman" w:hAnsi="Times New Roman" w:eastAsia="微软雅黑"/>
                <w:b/>
                <w:color w:val="000000"/>
                <w:sz w:val="21"/>
              </w:rPr>
              <w:t>【待填写】学习后状态变化</w:t>
            </w:r>
          </w:p>
          <w:p>
            <w:pPr>
              <w:keepNext w:val="0"/>
              <w:widowControl/>
              <w:spacing w:before="0" w:after="0" w:line="312" w:lineRule="auto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掌握度、复习队列、画像或计划版本前后对比。</w:t>
            </w:r>
          </w:p>
          <w:p>
            <w:pPr>
              <w:keepNext w:val="0"/>
              <w:widowControl/>
              <w:spacing w:before="0" w:after="0" w:line="288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附录C　多智能体执行与证据追溯样例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1272"/>
        <w:gridCol w:w="1272"/>
        <w:gridCol w:w="1272"/>
        <w:gridCol w:w="1272"/>
        <w:gridCol w:w="1272"/>
        <w:gridCol w:w="1272"/>
        <w:gridCol w:w="1272"/>
      </w:tblGrid>
      <w:tr>
        <w:trPr>
          <w:tblHeader w:val="true"/>
          <w:cantSplit/>
        </w:trP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执行ID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任务类型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参与角色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证据数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审核结果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修复次数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快照路径</w:t>
            </w:r>
          </w:p>
        </w:tc>
      </w:tr>
      <w:tr>
        <w:trPr>
          <w:cantSplit/>
        </w:trP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</w:tr>
      <w:tr>
        <w:trPr>
          <w:cantSplit/>
        </w:trPr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  <w:tc>
          <w:tcPr>
            <w:tcW w:type="dxa" w:w="124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il" w:sz="0" w:space="0" w:color="FFFFFF"/>
          <w:left w:val="nil" w:sz="0" w:space="0" w:color="FFFFFF"/>
          <w:bottom w:val="nil" w:sz="0" w:space="0" w:color="FFFFFF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8902"/>
      </w:tblGrid>
      <w:tr>
        <w:trPr>
          <w:cantSplit/>
        </w:trPr>
        <w:tc>
          <w:tcPr>
            <w:tcW w:type="dxa" w:w="8902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40" w:line="288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26"/>
              </w:rPr>
              <w:t>【插入图/截图】</w:t>
            </w:r>
          </w:p>
          <w:p>
            <w:pPr>
              <w:keepNext w:val="0"/>
              <w:widowControl/>
              <w:spacing w:before="0" w:after="0" w:line="312" w:lineRule="auto"/>
              <w:jc w:val="center"/>
            </w:pPr>
            <w:r>
              <w:rPr>
                <w:rFonts w:ascii="Times New Roman" w:hAnsi="Times New Roman" w:eastAsia="宋体"/>
                <w:color w:val="666666"/>
                <w:sz w:val="19"/>
              </w:rPr>
              <w:t>插入一次端到端执行轨迹，并给出声明—证据—审核—发布的对应关系。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color w:val="666666"/>
              </w:rPr>
              <w:t xml:space="preserve">　</w:t>
            </w:r>
          </w:p>
        </w:tc>
      </w:tr>
    </w:tbl>
    <w:p>
      <w:pPr>
        <w:keepNext w:val="0"/>
        <w:spacing w:before="80" w:after="160" w:line="240" w:lineRule="auto"/>
        <w:jc w:val="center"/>
      </w:pPr>
      <w:r>
        <w:rPr>
          <w:rFonts w:ascii="Times New Roman" w:hAnsi="Times New Roman" w:eastAsia="黑体"/>
          <w:color w:val="1F2937"/>
          <w:sz w:val="19"/>
        </w:rPr>
        <w:t>图C-1　完整执行轨迹样例</w:t>
      </w:r>
    </w:p>
    <w:p>
      <w:r>
        <w:br w:type="page"/>
      </w:r>
    </w:p>
    <w:p>
      <w:pPr>
        <w:pStyle w:val="Heading1"/>
      </w:pPr>
      <w:r>
        <w:t>附录D　测试证据索引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1484"/>
        <w:gridCol w:w="1484"/>
        <w:gridCol w:w="1484"/>
        <w:gridCol w:w="1484"/>
        <w:gridCol w:w="1484"/>
        <w:gridCol w:w="1484"/>
      </w:tblGrid>
      <w:tr>
        <w:trPr>
          <w:tblHeader w:val="true"/>
          <w:cantSplit/>
        </w:trPr>
        <w:tc>
          <w:tcPr>
            <w:tcW w:type="dxa" w:w="192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报告/产物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Run Tag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代码版本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样本量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校验和/路径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192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幻觉率报告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【】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【】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【】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【】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【】</w:t>
            </w:r>
          </w:p>
        </w:tc>
      </w:tr>
      <w:tr>
        <w:trPr>
          <w:cantSplit/>
        </w:trPr>
        <w:tc>
          <w:tcPr>
            <w:tcW w:type="dxa" w:w="192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适配度报告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【】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【】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【】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【】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【】</w:t>
            </w:r>
          </w:p>
        </w:tc>
      </w:tr>
      <w:tr>
        <w:trPr>
          <w:cantSplit/>
        </w:trPr>
        <w:tc>
          <w:tcPr>
            <w:tcW w:type="dxa" w:w="192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覆盖率报告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【】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【】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【】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【】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【】</w:t>
            </w:r>
          </w:p>
        </w:tc>
      </w:tr>
      <w:tr>
        <w:trPr>
          <w:cantSplit/>
        </w:trPr>
        <w:tc>
          <w:tcPr>
            <w:tcW w:type="dxa" w:w="192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多智能体专项测试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【】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【】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【】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【】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【】</w:t>
            </w:r>
          </w:p>
        </w:tc>
      </w:tr>
      <w:tr>
        <w:trPr>
          <w:cantSplit/>
        </w:trPr>
        <w:tc>
          <w:tcPr>
            <w:tcW w:type="dxa" w:w="192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部署验证记录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【】</w:t>
            </w:r>
          </w:p>
        </w:tc>
        <w:tc>
          <w:tcPr>
            <w:tcW w:type="dxa" w:w="147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【】</w:t>
            </w:r>
          </w:p>
        </w:tc>
        <w:tc>
          <w:tcPr>
            <w:tcW w:type="dxa" w:w="10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【】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【】</w:t>
            </w:r>
          </w:p>
        </w:tc>
        <w:tc>
          <w:tcPr>
            <w:tcW w:type="dxa" w:w="113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8"/>
              </w:rPr>
              <w:t>【】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附录E　10分钟演示视频脚本映射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nil" w:sz="0" w:space="0" w:color="FFFFFF"/>
          <w:bottom w:val="single" w:sz="12" w:space="0" w:color="000000"/>
          <w:right w:val="nil" w:sz="0" w:space="0" w:color="FFFFFF"/>
          <w:insideH w:val="nil" w:sz="0" w:space="0" w:color="FFFFFF"/>
          <w:insideV w:val="nil" w:sz="0" w:space="0" w:color="FFFFFF"/>
        </w:tblBorders>
      </w:tblPr>
      <w:tblGrid>
        <w:gridCol w:w="1780"/>
        <w:gridCol w:w="1780"/>
        <w:gridCol w:w="1780"/>
        <w:gridCol w:w="1780"/>
        <w:gridCol w:w="1780"/>
      </w:tblGrid>
      <w:tr>
        <w:trPr>
          <w:tblHeader w:val="true"/>
          <w:cantSplit/>
        </w:trPr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时间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演示内容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操作步骤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对应评分点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single" w:sz="8" w:space="0" w:color="000000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40" w:lineRule="auto"/>
              <w:jc w:val="center"/>
            </w:pPr>
            <w:r>
              <w:rPr>
                <w:rFonts w:ascii="Times New Roman" w:hAnsi="Times New Roman" w:eastAsia="微软雅黑"/>
                <w:b/>
                <w:color w:val="000000"/>
                <w:sz w:val="16"/>
              </w:rPr>
              <w:t>正文/证据</w:t>
            </w:r>
          </w:p>
        </w:tc>
      </w:tr>
      <w:tr>
        <w:trPr>
          <w:cantSplit/>
        </w:trPr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00:00–00:40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问题与作品定位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总体印象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第1章</w:t>
            </w:r>
          </w:p>
        </w:tc>
      </w:tr>
      <w:tr>
        <w:trPr>
          <w:cantSplit/>
        </w:trPr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00:40–01:30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三组画像差异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完整性/实用价值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第2章</w:t>
            </w:r>
          </w:p>
        </w:tc>
      </w:tr>
      <w:tr>
        <w:trPr>
          <w:cantSplit/>
        </w:trPr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01:30–03:30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贯穿场景发起与多智能体执行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完整性/创新性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第2、4章</w:t>
            </w:r>
          </w:p>
        </w:tc>
      </w:tr>
      <w:tr>
        <w:trPr>
          <w:cantSplit/>
        </w:trPr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03:30–05:00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证据、审核与局部修复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创新性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第4章</w:t>
            </w:r>
          </w:p>
        </w:tc>
      </w:tr>
      <w:tr>
        <w:trPr>
          <w:cantSplit/>
        </w:trPr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05:00–06:30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个性化资源与学习训练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完整性/用户体验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第5、6章</w:t>
            </w:r>
          </w:p>
        </w:tc>
      </w:tr>
      <w:tr>
        <w:trPr>
          <w:cantSplit/>
        </w:trPr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06:30–07:30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反馈写回与20分钟重规划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完整性/创新性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第5章</w:t>
            </w:r>
          </w:p>
        </w:tc>
      </w:tr>
      <w:tr>
        <w:trPr>
          <w:cantSplit/>
        </w:trPr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07:30–08:30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学情、路径和协作可视化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用户体验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第6章</w:t>
            </w:r>
          </w:p>
        </w:tc>
      </w:tr>
      <w:tr>
        <w:trPr>
          <w:cantSplit/>
        </w:trPr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08:30–09:30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三项核心指标与测试证据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实用价值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第8章</w:t>
            </w:r>
          </w:p>
        </w:tc>
      </w:tr>
      <w:tr>
        <w:trPr>
          <w:cantSplit/>
        </w:trPr>
        <w:tc>
          <w:tcPr>
            <w:tcW w:type="dxa" w:w="1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center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09:30–10:00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三项创新与总结</w:t>
            </w:r>
          </w:p>
        </w:tc>
        <w:tc>
          <w:tcPr>
            <w:tcW w:type="dxa" w:w="243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【填写】</w:t>
            </w:r>
          </w:p>
        </w:tc>
        <w:tc>
          <w:tcPr>
            <w:tcW w:type="dxa" w:w="170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创新性/价值</w:t>
            </w:r>
          </w:p>
        </w:tc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tcBorders>
              <w:top w:val="nil" w:sz="0" w:space="0" w:color="FFFFFF"/>
              <w:left w:val="nil" w:sz="0" w:space="0" w:color="FFFFFF"/>
              <w:bottom w:val="nil" w:sz="0" w:space="0" w:color="FFFFFF"/>
              <w:right w:val="nil" w:sz="0" w:space="0" w:color="FFFFFF"/>
              <w:insideH w:val="nil" w:sz="0" w:space="0" w:color="FFFFFF"/>
              <w:insideV w:val="nil" w:sz="0" w:space="0" w:color="FFFFFF"/>
            </w:tcBorders>
          </w:tcPr>
          <w:p>
            <w:pPr>
              <w:keepNext w:val="0"/>
              <w:widowControl/>
              <w:spacing w:before="0" w:after="0" w:line="276" w:lineRule="auto"/>
              <w:jc w:val="left"/>
            </w:pPr>
            <w:r>
              <w:rPr>
                <w:rFonts w:ascii="Times New Roman" w:hAnsi="Times New Roman" w:eastAsia="宋体"/>
                <w:color w:val="222222"/>
                <w:sz w:val="16"/>
              </w:rPr>
              <w:t>第7、10章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提交前版式与内容自检</w:t>
      </w:r>
    </w:p>
    <w:p>
      <w:pPr>
        <w:keepNext w:val="0"/>
        <w:spacing w:before="0" w:after="80" w:line="360" w:lineRule="auto"/>
      </w:pPr>
      <w:r>
        <w:rPr>
          <w:rFonts w:ascii="Times New Roman" w:hAnsi="Times New Roman" w:eastAsia="宋体"/>
        </w:rPr>
        <w:t>□ 封面学校、成员、教师、版本、日期和commit均已填写。</w:t>
      </w:r>
    </w:p>
    <w:p>
      <w:pPr>
        <w:keepNext w:val="0"/>
        <w:spacing w:before="0" w:after="80" w:line="360" w:lineRule="auto"/>
      </w:pPr>
      <w:r>
        <w:rPr>
          <w:rFonts w:ascii="Times New Roman" w:hAnsi="Times New Roman" w:eastAsia="宋体"/>
        </w:rPr>
        <w:t>□ 已删除所有未使用的“【待填写】”和模板说明。</w:t>
      </w:r>
    </w:p>
    <w:p>
      <w:pPr>
        <w:keepNext w:val="0"/>
        <w:spacing w:before="0" w:after="80" w:line="360" w:lineRule="auto"/>
      </w:pPr>
      <w:r>
        <w:rPr>
          <w:rFonts w:ascii="Times New Roman" w:hAnsi="Times New Roman" w:eastAsia="宋体"/>
        </w:rPr>
        <w:t>□ Ctrl+A、F9已更新目录、页码和域。</w:t>
      </w:r>
    </w:p>
    <w:p>
      <w:pPr>
        <w:keepNext w:val="0"/>
        <w:spacing w:before="0" w:after="80" w:line="360" w:lineRule="auto"/>
      </w:pPr>
      <w:r>
        <w:rPr>
          <w:rFonts w:ascii="Times New Roman" w:hAnsi="Times New Roman" w:eastAsia="宋体"/>
        </w:rPr>
        <w:t>□ 所有图片清晰，字号可读，图题位于图下，表题/表头完整。</w:t>
      </w:r>
    </w:p>
    <w:p>
      <w:pPr>
        <w:keepNext w:val="0"/>
        <w:spacing w:before="0" w:after="80" w:line="360" w:lineRule="auto"/>
      </w:pPr>
      <w:r>
        <w:rPr>
          <w:rFonts w:ascii="Times New Roman" w:hAnsi="Times New Roman" w:eastAsia="宋体"/>
        </w:rPr>
        <w:t>□ 三项核心指标区分目标值、待测值和实测值，并附样本量与置信区间。</w:t>
      </w:r>
    </w:p>
    <w:p>
      <w:pPr>
        <w:keepNext w:val="0"/>
        <w:spacing w:before="0" w:after="80" w:line="360" w:lineRule="auto"/>
      </w:pPr>
      <w:r>
        <w:rPr>
          <w:rFonts w:ascii="Times New Roman" w:hAnsi="Times New Roman" w:eastAsia="宋体"/>
        </w:rPr>
        <w:t>□ 所有“已实现”描述均可由当前提交代码、页面或测试证明。</w:t>
      </w:r>
    </w:p>
    <w:p>
      <w:pPr>
        <w:keepNext w:val="0"/>
        <w:spacing w:before="0" w:after="80" w:line="360" w:lineRule="auto"/>
      </w:pPr>
      <w:r>
        <w:rPr>
          <w:rFonts w:ascii="Times New Roman" w:hAnsi="Times New Roman" w:eastAsia="宋体"/>
        </w:rPr>
        <w:t>□ 未使用“全球首个、国内唯一、零幻觉、显著提升通过率”等无充分证据表述。</w:t>
      </w:r>
    </w:p>
    <w:p>
      <w:pPr>
        <w:keepNext w:val="0"/>
        <w:spacing w:before="0" w:after="80" w:line="360" w:lineRule="auto"/>
      </w:pPr>
      <w:r>
        <w:rPr>
          <w:rFonts w:ascii="Times New Roman" w:hAnsi="Times New Roman" w:eastAsia="宋体"/>
        </w:rPr>
        <w:t>□ 模型、Prompt、数据和代码版本已冻结并记录。</w:t>
      </w:r>
    </w:p>
    <w:p>
      <w:pPr>
        <w:keepNext w:val="0"/>
        <w:spacing w:before="0" w:after="80" w:line="360" w:lineRule="auto"/>
      </w:pPr>
      <w:r>
        <w:rPr>
          <w:rFonts w:ascii="Times New Roman" w:hAnsi="Times New Roman" w:eastAsia="宋体"/>
        </w:rPr>
        <w:t>□ 截图和执行快照已脱敏，不含密钥、密码、Cookie、个人信息。</w:t>
      </w:r>
    </w:p>
    <w:p>
      <w:pPr>
        <w:keepNext w:val="0"/>
        <w:spacing w:before="0" w:after="80" w:line="360" w:lineRule="auto"/>
      </w:pPr>
      <w:r>
        <w:rPr>
          <w:rFonts w:ascii="Times New Roman" w:hAnsi="Times New Roman" w:eastAsia="宋体"/>
        </w:rPr>
        <w:t>□ 参考文献完整，所有关键数据集和方法均有引用。</w:t>
      </w:r>
    </w:p>
    <w:p>
      <w:pPr>
        <w:keepNext w:val="0"/>
        <w:spacing w:before="0" w:after="80" w:line="360" w:lineRule="auto"/>
      </w:pPr>
      <w:r>
        <w:rPr>
          <w:rFonts w:ascii="Times New Roman" w:hAnsi="Times New Roman" w:eastAsia="宋体"/>
        </w:rPr>
        <w:t>□ 10分钟演示脚本与正文、评分点、证据一一对应。</w:t>
      </w:r>
    </w:p>
    <w:p>
      <w:pPr>
        <w:keepNext w:val="0"/>
        <w:spacing w:before="0" w:after="80" w:line="360" w:lineRule="auto"/>
      </w:pPr>
      <w:r>
        <w:rPr>
          <w:rFonts w:ascii="Times New Roman" w:hAnsi="Times New Roman" w:eastAsia="宋体"/>
        </w:rPr>
        <w:t>□ 部署说明已在全新环境或等价环境验证。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304" w:left="158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666666"/>
        <w:sz w:val="18"/>
      </w:rPr>
      <w:t xml:space="preserve">— </w:t>
    </w:r>
    <w:r>
      <w:rPr>
        <w:rFonts w:ascii="Times New Roman" w:hAnsi="Times New Roman" w:eastAsia="宋体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/>
        <w:color w:val="666666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B4C7E7"/>
      </w:pBdr>
    </w:pPr>
    <w:r>
      <w:rPr>
        <w:rFonts w:ascii="Times New Roman" w:hAnsi="Times New Roman" w:eastAsia="微软雅黑"/>
        <w:color w:val="666666"/>
        <w:sz w:val="17"/>
      </w:rPr>
      <w:t>时珍智训｜参赛作品设计实现方案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88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88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88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 w:line="288" w:lineRule="auto"/>
      <w:outlineLvl w:val="3"/>
    </w:pPr>
    <w:rPr>
      <w:rFonts w:asciiTheme="majorHAnsi" w:eastAsiaTheme="majorEastAsia" w:hAnsiTheme="majorHAnsi" w:cstheme="majorBidi" w:ascii="Times New Roman" w:hAnsi="Times New Roman" w:eastAsia="楷体"/>
      <w:b/>
      <w:bCs/>
      <w:i/>
      <w:iCs/>
      <w:color w:val="1F2937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88" w:lineRule="auto" w:before="0"/>
      <w:contextualSpacing/>
    </w:pPr>
    <w:rPr>
      <w:rFonts w:asciiTheme="majorHAnsi" w:eastAsiaTheme="majorEastAsia" w:hAnsiTheme="majorHAnsi" w:cstheme="majorBidi" w:ascii="Times New Roman" w:hAnsi="Times New Roman" w:eastAsia="微软雅黑"/>
      <w:b/>
      <w:color w:val="1F4E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 w:line="288" w:lineRule="auto"/>
    </w:pPr>
    <w:rPr>
      <w:rFonts w:asciiTheme="majorHAnsi" w:eastAsiaTheme="majorEastAsia" w:hAnsiTheme="majorHAnsi" w:cstheme="majorBidi" w:ascii="Times New Roman" w:hAnsi="Times New Roman" w:eastAsia="微软雅黑"/>
      <w:b w:val="0"/>
      <w:i/>
      <w:iCs/>
      <w:color w:val="666666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图表题注">
    <w:name w:val="图表题注"/>
    <w:pPr>
      <w:jc w:val="center"/>
    </w:pPr>
    <w:rPr>
      <w:rFonts w:ascii="Times New Roman" w:hAnsi="Times New Roman" w:eastAsia="黑体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时珍智训参赛作品设计实现方案可填写模板</dc:title>
  <dc:subject>挑战杯揭榜挂帅专项赛 XH-202630</dc:subject>
  <dc:creator>时珍智训项目团队</dc:creator>
  <cp:keywords>多智能体, 个性化学习, 中医药教育, 挑战杯</cp:keywords>
  <dc:description>可直接填写的参赛主文档模板，生成日期：2026-08-04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