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Jesse Anzelc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5/5/14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EEC 180B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Lab 4 Report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Record the delay from the rising edge of the clock to the “Done” signal and include 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your report.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3027.137 ns (posedge Done) - 3020 ns (posedge Clock) = 7.137 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Give one example of the difference between what you see in the waveforms produced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during timing simulation and functional simulation.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Functional simulation does not include the delays present in the timing simulation.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What are tsu, tpd, tco and th?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tsu = 5.856 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tpd = 15.137 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tco = 11.596 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 = -0.064 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What is the critical path of your circuit and the maximum frequency of operation?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KEY[0] to HEX3[0] or Resetn to MSB of Product, max frequency is 233.43 MHz.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Is the critical path consistent with your design?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Yes? It’s plausible that percolating the reset signal would take longer than the effects of the clock changing.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 Change the maximum clock frequency constrain to 80 MHz.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Okay.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 Recompile your design.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Did 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6. What is the critical path of your circuit? Explain if there is any difference.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Critical path is now KEY[0] to HEX1[1]. Now there is a Clock hold time that affects the critical path.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Compare the power consumption of 8-bit and 16-bit Booth multiplier designs. This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involves changing the parameter “n” in your design from 8 to 16 and repeating the steps.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16-bit: 141.92 mW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8-bit: 136.7 mW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16-bit multiplier has more going on, so the power consumption has increased by 3.82%.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