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0"/>
      </w:pPr>
      <w:r>
        <w:rPr>
          <w:rFonts w:ascii="Arial" w:cs="Arial" w:eastAsia="Arial" w:hAnsi="Arial"/>
          <w:b/>
          <w:bCs/>
          <w:color w:val="0A0A0A"/>
          <w:sz w:val="150"/>
          <w:szCs w:val="150"/>
        </w:rPr>
        <w:t xml:space="preserve">THE</w:t>
      </w:r>
    </w:p>
    <w:p>
      <w:pPr>
        <w:spacing w:before="0" w:after="0"/>
      </w:pPr>
      <w:r>
        <w:rPr>
          <w:rFonts w:ascii="Arial" w:cs="Arial" w:eastAsia="Arial" w:hAnsi="Arial"/>
          <w:b/>
          <w:bCs/>
          <w:color w:val="0A0A0A"/>
          <w:sz w:val="60"/>
          <w:szCs w:val="60"/>
        </w:rPr>
        <w:t xml:space="preserve">GRAVITATIONAL</w:t>
      </w:r>
    </w:p>
    <w:p>
      <w:pPr>
        <w:spacing w:before="0" w:after="0"/>
      </w:pPr>
      <w:r>
        <w:rPr>
          <w:rFonts w:ascii="Arial" w:cs="Arial" w:eastAsia="Arial" w:hAnsi="Arial"/>
          <w:b/>
          <w:bCs/>
          <w:color w:val="0A0A0A"/>
          <w:sz w:val="150"/>
          <w:szCs w:val="150"/>
        </w:rPr>
        <w:t xml:space="preserve">FIELD.</w:t>
      </w:r>
    </w:p>
    <w:p>
      <w:pPr>
        <w:spacing w:before="60" w:after="0"/>
      </w:pPr>
      <w:r>
        <w:t xml:space="preserve"/>
      </w:r>
    </w:p>
    <w:p>
      <w:pPr>
        <w:pBdr>
          <w:bottom w:val="single" w:color="0A0A0A" w:sz="16" w:space="1"/>
        </w:pBdr>
        <w:spacing w:before="160" w:after="160"/>
      </w:pPr>
      <w:r>
        <w:t xml:space="preserve"/>
      </w:r>
    </w:p>
    <w:p>
      <w:pPr>
        <w:spacing w:before="40" w:after="0"/>
      </w:pPr>
      <w:r>
        <w:t xml:space="preserve"/>
      </w:r>
    </w:p>
    <w:p>
      <w:pPr>
        <w:spacing w:before="0" w:after="16"/>
      </w:pPr>
      <w:r>
        <w:rPr>
          <w:rFonts w:ascii="Arial" w:cs="Arial" w:eastAsia="Arial" w:hAnsi="Arial"/>
          <w:i/>
          <w:iCs/>
          <w:color w:val="0A0A0A"/>
          <w:sz w:val="24"/>
          <w:szCs w:val="24"/>
        </w:rPr>
        <w:t xml:space="preserve">30 content pieces. 30 search terms. One platform. The map of everything AMAIMA publishes in the next 90 days — and exactly who it reaches.</w:t>
      </w:r>
    </w:p>
    <w:p>
      <w:pPr>
        <w:spacing w:before="0" w:after="0"/>
      </w:pPr>
      <w:r>
        <w:rPr>
          <w:rFonts w:ascii="Arial" w:cs="Arial" w:eastAsia="Arial" w:hAnsi="Arial"/>
          <w:color w:val="777777"/>
          <w:sz w:val="19"/>
          <w:szCs w:val="19"/>
        </w:rPr>
        <w:t xml:space="preserve">AMAIMA  ·  amaima.live  ·  amaima.live/fhe  ·  February 2026</w:t>
      </w:r>
    </w:p>
    <w:p>
      <w:pPr>
        <w:spacing w:before="7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80"/>
              <w:left w:type="dxa" w:w="360"/>
              <w:bottom w:type="dxa" w:w="280"/>
              <w:right w:type="dxa" w:w="360"/>
            </w:tcMar>
          </w:tcPr>
          <w:p>
            <w:pPr>
              <w:spacing w:before="0" w:after="32"/>
            </w:pPr>
            <w:r>
              <w:rPr>
                <w:rFonts w:ascii="Arial" w:cs="Arial" w:eastAsia="Arial" w:hAnsi="Arial"/>
                <w:b/>
                <w:bCs/>
                <w:caps/>
                <w:color w:val="777777"/>
                <w:sz w:val="17"/>
                <w:szCs w:val="17"/>
              </w:rPr>
              <w:t xml:space="preserve">THE PREMISE</w:t>
            </w:r>
          </w:p>
          <w:p>
            <w:pPr>
              <w:spacing w:before="0" w:after="28"/>
            </w:pPr>
            <w:r>
              <w:rPr>
                <w:rFonts w:ascii="Arial" w:cs="Arial" w:eastAsia="Arial" w:hAnsi="Arial"/>
                <w:b/>
                <w:bCs/>
                <w:color w:val="FFFFFF"/>
                <w:sz w:val="32"/>
                <w:szCs w:val="32"/>
              </w:rPr>
              <w:t xml:space="preserve">Search rankings are permanent real estate. Cold emails expire.</w:t>
            </w:r>
          </w:p>
          <w:p>
            <w:pPr>
              <w:spacing w:before="0" w:after="24"/>
            </w:pPr>
            <w:r>
              <w:rPr>
                <w:rFonts w:ascii="Arial" w:cs="Arial" w:eastAsia="Arial" w:hAnsi="Arial"/>
                <w:color w:val="BBBBBB"/>
                <w:sz w:val="21"/>
                <w:szCs w:val="21"/>
              </w:rPr>
              <w:t xml:space="preserve">Every card below is a specific piece of content targeting a specific uncontested search query. Each one is a door that stays open — permanently — for a specific person who is already looking for what AMAIMA is.</w:t>
            </w:r>
          </w:p>
          <w:p>
            <w:pPr>
              <w:spacing w:before="0" w:after="0"/>
            </w:pPr>
            <w:r>
              <w:rPr>
                <w:rFonts w:ascii="Arial" w:cs="Arial" w:eastAsia="Arial" w:hAnsi="Arial"/>
                <w:color w:val="BBBBBB"/>
                <w:sz w:val="21"/>
                <w:szCs w:val="21"/>
              </w:rPr>
              <w:t xml:space="preserve">When all 30 exist: the platform becomes findable by every biopharma researcher searching for AlphaFold2 APIs, every enterprise security architect searching for FHE inference, every robotics engineer searching for GR00T orchestration, every DARPA contractor searching for encrypted autonomous systems. They arrive already convinced. The conversation starts from proof.</w:t>
            </w:r>
          </w:p>
        </w:tc>
      </w:tr>
    </w:tbl>
    <w:p>
      <w:pPr>
        <w:spacing w:before="80" w:after="0"/>
      </w:pPr>
      <w:r>
        <w:t xml:space="preserve"/>
      </w:r>
    </w:p>
    <w:p>
      <w:pPr>
        <w:pStyle w:val="Heading1"/>
        <w:spacing w:before="480" w:after="160"/>
      </w:pPr>
      <w:r>
        <w:rPr>
          <w:rFonts w:ascii="Arial" w:cs="Arial" w:eastAsia="Arial" w:hAnsi="Arial"/>
          <w:b/>
          <w:bCs/>
          <w:color w:val="0A0A0A"/>
          <w:sz w:val="42"/>
          <w:szCs w:val="42"/>
        </w:rPr>
        <w:t xml:space="preserve">How to Read This Document</w:t>
      </w:r>
    </w:p>
    <w:p>
      <w:pPr>
        <w:spacing w:before="70" w:after="70"/>
      </w:pPr>
      <w:r>
        <w:rPr>
          <w:rFonts w:ascii="Arial" w:cs="Arial" w:eastAsia="Arial" w:hAnsi="Arial"/>
          <w:color w:val="0A0A0A"/>
          <w:sz w:val="22"/>
          <w:szCs w:val="22"/>
        </w:rPr>
        <w:t xml:space="preserve">Each content card contains five fields:</w:t>
      </w:r>
    </w:p>
    <w:p>
      <w:pPr>
        <w:pStyle w:val="ListParagraph"/>
        <w:numPr>
          <w:ilvl w:val="0"/>
          <w:numId w:val="2"/>
        </w:numPr>
        <w:spacing w:before="50" w:after="50"/>
      </w:pPr>
      <w:r>
        <w:rPr>
          <w:rFonts w:ascii="Arial" w:cs="Arial" w:eastAsia="Arial" w:hAnsi="Arial"/>
          <w:color w:val="0A0A0A"/>
          <w:sz w:val="22"/>
          <w:szCs w:val="22"/>
        </w:rPr>
        <w:t xml:space="preserve">Title — the exact headline of the post or article</w:t>
      </w:r>
    </w:p>
    <w:p>
      <w:pPr>
        <w:pStyle w:val="ListParagraph"/>
        <w:numPr>
          <w:ilvl w:val="0"/>
          <w:numId w:val="2"/>
        </w:numPr>
        <w:spacing w:before="50" w:after="50"/>
      </w:pPr>
      <w:r>
        <w:rPr>
          <w:rFonts w:ascii="Arial" w:cs="Arial" w:eastAsia="Arial" w:hAnsi="Arial"/>
          <w:color w:val="0A0A0A"/>
          <w:sz w:val="22"/>
          <w:szCs w:val="22"/>
        </w:rPr>
        <w:t xml:space="preserve">Hook — the opening sentence or caption, ready to use</w:t>
      </w:r>
    </w:p>
    <w:p>
      <w:pPr>
        <w:pStyle w:val="ListParagraph"/>
        <w:numPr>
          <w:ilvl w:val="0"/>
          <w:numId w:val="2"/>
        </w:numPr>
        <w:spacing w:before="50" w:after="50"/>
      </w:pPr>
      <w:r>
        <w:rPr>
          <w:rFonts w:ascii="Arial" w:cs="Arial" w:eastAsia="Arial" w:hAnsi="Arial"/>
          <w:color w:val="0A0A0A"/>
          <w:sz w:val="22"/>
          <w:szCs w:val="22"/>
        </w:rPr>
        <w:t xml:space="preserve">Platform — where it lives (NVIDIA Blog, X, LinkedIn, bioRxiv, Hugging Face, Substack, Reddit)</w:t>
      </w:r>
    </w:p>
    <w:p>
      <w:pPr>
        <w:pStyle w:val="ListParagraph"/>
        <w:numPr>
          <w:ilvl w:val="0"/>
          <w:numId w:val="2"/>
        </w:numPr>
        <w:spacing w:before="50" w:after="50"/>
      </w:pPr>
      <w:r>
        <w:rPr>
          <w:rFonts w:ascii="Arial" w:cs="Arial" w:eastAsia="Arial" w:hAnsi="Arial"/>
          <w:color w:val="004D52"/>
          <w:sz w:val="22"/>
          <w:szCs w:val="22"/>
        </w:rPr>
        <w:t xml:space="preserve">Owns — the exact search query this post will rank for</w:t>
      </w:r>
    </w:p>
    <w:p>
      <w:pPr>
        <w:pStyle w:val="ListParagraph"/>
        <w:numPr>
          <w:ilvl w:val="0"/>
          <w:numId w:val="2"/>
        </w:numPr>
        <w:spacing w:before="50" w:after="50"/>
      </w:pPr>
      <w:r>
        <w:rPr>
          <w:rFonts w:ascii="Arial" w:cs="Arial" w:eastAsia="Arial" w:hAnsi="Arial"/>
          <w:color w:val="BF360C"/>
          <w:sz w:val="22"/>
          <w:szCs w:val="22"/>
        </w:rPr>
        <w:t xml:space="preserve">Compounds into — what happens after this post exists: who shares it, what it unlocks</w:t>
      </w:r>
    </w:p>
    <w:p>
      <w:pPr>
        <w:spacing w:before="40" w:after="0"/>
      </w:pPr>
      <w:r>
        <w:t xml:space="preserve"/>
      </w:r>
    </w:p>
    <w:p>
      <w:pPr>
        <w:spacing w:before="70" w:after="70"/>
      </w:pPr>
      <w:r>
        <w:rPr>
          <w:rFonts w:ascii="Arial" w:cs="Arial" w:eastAsia="Arial" w:hAnsi="Arial"/>
          <w:i/>
          <w:iCs/>
          <w:color w:val="0A0A0A"/>
          <w:sz w:val="22"/>
          <w:szCs w:val="22"/>
        </w:rPr>
        <w:t xml:space="preserve">The 30 pieces are organized into six sections: NVIDIA Ecosystem, FHE &amp; Privacy, Biology &amp; Drug Discovery, Developer Community, Enterprise &amp; CISO, and Thought Leadership. Produce them in order. Each section builds authority in one specific community. By week 13, AMAIMA is the first result for every query that matters.</w:t>
      </w:r>
    </w:p>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1 — NVIDIA ECOSYSTEM</w:t>
            </w:r>
          </w:p>
          <w:p>
            <w:pPr>
              <w:spacing w:before="0" w:after="0"/>
            </w:pPr>
            <w:r>
              <w:rPr>
                <w:rFonts w:ascii="Arial" w:cs="Arial" w:eastAsia="Arial" w:hAnsi="Arial"/>
                <w:color w:val="CCCCCC"/>
                <w:sz w:val="20"/>
                <w:szCs w:val="20"/>
              </w:rPr>
              <w:t xml:space="preserve">Six posts that establish AMAIMA as the reference implementation of NVIDIA's physical AI stack. These reach NVentures, the BioNeMo team, the Riva team, the GR00T team, and every NVIDIA enterprise partner — without a single cold email.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01</w:t>
            </w:r>
          </w:p>
        </w:tc>
        <w:tc>
          <w:tcPr>
            <w:tcW w:type="dxa" w:w="8760"/>
            <w:tcBorders>
              <w:top w:val="single" w:color="0A0A0A" w:sz="10"/>
              <w:left w:val="single" w:color="0A0A0A" w:sz="10"/>
              <w:bottom w:val="single" w:color="0A0A0A" w:sz="10"/>
              <w:right w:val="single" w:color="0A0A0A" w:sz="10"/>
            </w:tcBorders>
            <w:shd w:fill="E8F5E9"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One Developer. 26 NIM Models. One Live Platform.</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NVIDIA Developer Blog (submit via Developer portal)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NVIDIA customers, NVentures, Inception members, GTC attendees, enterprise AI teams</w:t>
            </w:r>
          </w:p>
          <w:p>
            <w:pPr>
              <w:spacing w:before="0" w:after="16"/>
            </w:pPr>
            <w:r>
              <w:rPr>
                <w:rFonts w:ascii="Arial" w:cs="Arial" w:eastAsia="Arial" w:hAnsi="Arial"/>
                <w:i/>
                <w:iCs/>
                <w:color w:val="0A0A0A"/>
                <w:sz w:val="21"/>
                <w:szCs w:val="21"/>
              </w:rPr>
              <w:t xml:space="preserve">'I spent 90 days integrating every NVIDIA NIM domain into one production system. Here is the architecture that made it work — and the three things nobody warned me about.'</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nim multimodal platform  /  nvidia nim all domains</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NVentures flags it. GTC attendees find it before March 16. NVIDIA co-marketing begins.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02</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Smart Router v2: How to Route 26 NVIDIA Models with One API Call</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Hugging Face Blog + cross-post to Dev.to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ML engineers, developers building on NIM, platform architects</w:t>
            </w:r>
          </w:p>
          <w:p>
            <w:pPr>
              <w:spacing w:before="0" w:after="16"/>
            </w:pPr>
            <w:r>
              <w:rPr>
                <w:rFonts w:ascii="Arial" w:cs="Arial" w:eastAsia="Arial" w:hAnsi="Arial"/>
                <w:i/>
                <w:iCs/>
                <w:color w:val="0A0A0A"/>
                <w:sz w:val="21"/>
                <w:szCs w:val="21"/>
              </w:rPr>
              <w:t xml:space="preserve">'The hardest part of running 26 NIM models simultaneously is not the models — it is knowing which one answers each query. Here is the routing architecture and the 40% cost savings it produces.'</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nim routing  /  llm router multi-model  /  nvidia nim cost optimization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GitHub stars. Developer community follows AMAIMA repo. Hugging Face featured post potential.</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03</w:t>
            </w:r>
          </w:p>
        </w:tc>
        <w:tc>
          <w:tcPr>
            <w:tcW w:type="dxa" w:w="8760"/>
            <w:tcBorders>
              <w:top w:val="single" w:color="0A0A0A" w:sz="10"/>
              <w:left w:val="single" w:color="0A0A0A" w:sz="10"/>
              <w:bottom w:val="single" w:color="0A0A0A" w:sz="10"/>
              <w:right w:val="single" w:color="0A0A0A" w:sz="10"/>
            </w:tcBorders>
            <w:shd w:fill="E8F5E9"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X Thread: I Built the Reference Implementation of NVIDIA's Physical AI Stack. Here Is What I Found.</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X (Twitter) — 7-tweet thread with amaima.live link in reply 1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Developers, VCs, NVIDIA executives active on X, Jensen Huang's team</w:t>
            </w:r>
          </w:p>
          <w:p>
            <w:pPr>
              <w:spacing w:before="0" w:after="16"/>
            </w:pPr>
            <w:r>
              <w:rPr>
                <w:rFonts w:ascii="Arial" w:cs="Arial" w:eastAsia="Arial" w:hAnsi="Arial"/>
                <w:i/>
                <w:iCs/>
                <w:color w:val="0A0A0A"/>
                <w:sz w:val="21"/>
                <w:szCs w:val="21"/>
              </w:rPr>
              <w:t xml:space="preserve">'GR00T-2 for robotics. AlphaFold2 for biology. Riva for speech. Cosmos Reason2 for vision. All running simultaneously. Here is the thread on what it actually takes. [1/7]'</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physical ai stack  /  nvidia gr00t alphafold2  /  nvidia all domains</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NVIDIA account may repost. Thread reaches 50K+ developer accounts. VC quote-tweets follow.</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04</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Building with NVIDIA GR00T-2, Isaac Manipulator, VILA, and Cosmos Reason2 Together — What Works</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NVIDIA Developer Blog (second post) + GitHub as linked reference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Robotics engineers, autonomous systems teams, NVentures robotics portfolio</w:t>
            </w:r>
          </w:p>
          <w:p>
            <w:pPr>
              <w:spacing w:before="0" w:after="16"/>
            </w:pPr>
            <w:r>
              <w:rPr>
                <w:rFonts w:ascii="Arial" w:cs="Arial" w:eastAsia="Arial" w:hAnsi="Arial"/>
                <w:i/>
                <w:iCs/>
                <w:color w:val="0A0A0A"/>
                <w:sz w:val="21"/>
                <w:szCs w:val="21"/>
              </w:rPr>
              <w:t xml:space="preserve">'Four NVIDIA robotics models. One pipeline. Navigation + manipulation + perception + scene understanding in one agent workflow. Here is the implementation, the edge cases, and what surprised me.'</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gr00t langchain  /  nvidia isaac manipulator api  /  gr00t-2 implementation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Skild AI and Physical Intelligence teams see it. Robotics community shares. DARPA TTO program managers find it.</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05</w:t>
            </w:r>
          </w:p>
        </w:tc>
        <w:tc>
          <w:tcPr>
            <w:tcW w:type="dxa" w:w="8760"/>
            <w:tcBorders>
              <w:top w:val="single" w:color="0A0A0A" w:sz="10"/>
              <w:left w:val="single" w:color="0A0A0A" w:sz="10"/>
              <w:bottom w:val="single" w:color="0A0A0A" w:sz="10"/>
              <w:right w:val="single" w:color="0A0A0A" w:sz="10"/>
            </w:tcBorders>
            <w:shd w:fill="E8F5E9"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LinkedIn Article: NVentures Backed ElevenLabs at $11B for Voice AI. Here Is What a Platform Running Voice + Five Other Domains Looks Like.</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long-form article targeting enterprise AI and VC readership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VCs, enterprise AI buyers, NVIDIA partners, SoftBank analysts</w:t>
            </w:r>
          </w:p>
          <w:p>
            <w:pPr>
              <w:spacing w:before="0" w:after="16"/>
            </w:pPr>
            <w:r>
              <w:rPr>
                <w:rFonts w:ascii="Arial" w:cs="Arial" w:eastAsia="Arial" w:hAnsi="Arial"/>
                <w:i/>
                <w:iCs/>
                <w:color w:val="0A0A0A"/>
                <w:sz w:val="21"/>
                <w:szCs w:val="21"/>
              </w:rPr>
              <w:t xml:space="preserve">'NVIDIA invested in ElevenLabs at $11B for voice AI alone. AMAIMA runs the same Riva stack — plus drug discovery, robotics, vision, embeddings, and FHE. This is what multi-domain looks like in production.'</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riva speech platform  /  multimodal ai platform production  /  elevenlabs alternative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VCs who backed single-domain companies share it to their networks. NVentures LPs see it.</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06</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The NVIDIA NIM Billing Problem (And How We Solved It Across Six Domains)</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Substack — AMAIMA technical newsletter (first issue)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Technical founders, ML engineers, developer community</w:t>
            </w:r>
          </w:p>
          <w:p>
            <w:pPr>
              <w:spacing w:before="0" w:after="16"/>
            </w:pPr>
            <w:r>
              <w:rPr>
                <w:rFonts w:ascii="Arial" w:cs="Arial" w:eastAsia="Arial" w:hAnsi="Arial"/>
                <w:i/>
                <w:iCs/>
                <w:color w:val="0A0A0A"/>
                <w:sz w:val="21"/>
                <w:szCs w:val="21"/>
              </w:rPr>
              <w:t xml:space="preserve">'When you run biology, robotics, speech, vision, embeddings, and LLMs on one billing layer — tokens mean six different things. Here is the unified billing architecture and why it matters for enterprise adoption.'</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nim billing  /  ai platform billing multi-model  /  llm billing architecture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Developer community subscribes. Stripe partnership potential. Referenced by NVIDIA's enterprise team.</w:t>
            </w:r>
          </w:p>
        </w:tc>
      </w:tr>
    </w:tbl>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0050"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2 — FHE &amp; PRIVACY</w:t>
            </w:r>
          </w:p>
          <w:p>
            <w:pPr>
              <w:spacing w:before="0" w:after="0"/>
            </w:pPr>
            <w:r>
              <w:rPr>
                <w:rFonts w:ascii="Arial" w:cs="Arial" w:eastAsia="Arial" w:hAnsi="Arial"/>
                <w:color w:val="CCCCCC"/>
                <w:sz w:val="20"/>
                <w:szCs w:val="20"/>
              </w:rPr>
              <w:t xml:space="preserve">Six posts that establish AMAIMA as the only production-deployed FHE-integrated AI platform in existence. These reach cryptography researchers, enterprise security architects, DARPA reviewers, and the Microsoft SEAL team — each of whom arrives already understanding the significance.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07</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Practical FHE Inference on a Multimodal AI Platform: CKKS + BFV at Production Latency</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arXiv cs.CR — preprint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Cryptography researchers, DARPA reviewers, NSA, IBM FHE team, Microsoft SEAL team</w:t>
            </w:r>
          </w:p>
          <w:p>
            <w:pPr>
              <w:spacing w:before="0" w:after="16"/>
            </w:pPr>
            <w:r>
              <w:rPr>
                <w:rFonts w:ascii="Arial" w:cs="Arial" w:eastAsia="Arial" w:hAnsi="Arial"/>
                <w:i/>
                <w:iCs/>
                <w:color w:val="0A0A0A"/>
                <w:sz w:val="21"/>
                <w:szCs w:val="21"/>
              </w:rPr>
              <w:t xml:space="preserve">'The academic literature says FHE inference carries 1000x overhead. We achieved ~1.1s. Here is the implementation, the scheme selection reasoning, and the benchmark numbers.'</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fhe inference latency  /  ckks inference production  /  homomorphic encryption ai</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DARPA BTO reviewers find it in September search. IBM and Microsoft teams see it. Academic citations begin.</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08</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Encrypted Drug Scoring with CKKS and NVIDIA BioNeMo — From Compound to Score Without Decryption</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Hugging Face Blog + bioRxiv as preprint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Drug discovery researchers, pharma R&amp;D teams, biopharma CTOs</w:t>
            </w:r>
          </w:p>
          <w:p>
            <w:pPr>
              <w:spacing w:before="0" w:after="16"/>
            </w:pPr>
            <w:r>
              <w:rPr>
                <w:rFonts w:ascii="Arial" w:cs="Arial" w:eastAsia="Arial" w:hAnsi="Arial"/>
                <w:i/>
                <w:iCs/>
                <w:color w:val="0A0A0A"/>
                <w:sz w:val="21"/>
                <w:szCs w:val="21"/>
              </w:rPr>
              <w:t xml:space="preserve">'A pharma company has a compound library worth more than the drugs it produces. Here is how FHE allows AlphaFold2 and DiffDock to score those compounds without ever seeing them.'</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encrypted drug discovery api  /  fhe drug scoring  /  alphafold2 encrypted  /  bionemo fhe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Biopharma researchers find it. First enterprise inbound inquiry arrives. bioRxiv citation established.</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09</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X Thread: The Server Processed This Drug Candidate Without Being Able to Read It.</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X — video post with caption + follow-up thread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Pharma researchers, biotech founders, healthcare CISOs, enterprise security buyers</w:t>
            </w:r>
          </w:p>
          <w:p>
            <w:pPr>
              <w:spacing w:before="0" w:after="16"/>
            </w:pPr>
            <w:r>
              <w:rPr>
                <w:rFonts w:ascii="Arial" w:cs="Arial" w:eastAsia="Arial" w:hAnsi="Arial"/>
                <w:i/>
                <w:iCs/>
                <w:color w:val="0A0A0A"/>
                <w:sz w:val="21"/>
                <w:szCs w:val="21"/>
              </w:rPr>
              <w:t xml:space="preserve">'Encrypted input. FHE computation. Encrypted output. The inference server saw ciphertext throughout. No decryption occurred on our servers at any point. Here is what that means for every pharma company that has refused to use cloud AI. [video of Demo A]'</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fhe drug scoring demo  /  encrypted ai inference demo</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Video circulates in pharma Slack channels. Microsoft SEAL team sees it. DARPA BTO program manager finds it.</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10</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Why HIPAA Compliance by Architecture Is Worth More Than HIPAA Compliance by Policy</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targeting healthcare CISOs, Chief Compliance Officers, hospital IT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Healthcare CISOs, Chief Compliance Officers, hospital system IT leadership</w:t>
            </w:r>
          </w:p>
          <w:p>
            <w:pPr>
              <w:spacing w:before="0" w:after="16"/>
            </w:pPr>
            <w:r>
              <w:rPr>
                <w:rFonts w:ascii="Arial" w:cs="Arial" w:eastAsia="Arial" w:hAnsi="Arial"/>
                <w:i/>
                <w:iCs/>
                <w:color w:val="0A0A0A"/>
                <w:sz w:val="21"/>
                <w:szCs w:val="21"/>
              </w:rPr>
              <w:t xml:space="preserve">'Every healthcare AI vendor gives you a policy guarantee. AMAIMA gives you a mathematical one. Here is the difference between a BAA that can be breached and encryption that cannot.'</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hipaa ai compliance architecture  /  fhe hipaa healthcare  /  encrypted ai healthcare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Healthcare CISO shares it to their network. Inbound inquiry from health system. Epic Systems team sees it.</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11</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The Zero-Trust Agent Builder: How FHE Privacy Nodes Change What Workflows Can Touch</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Dev.to + cross-post to Substack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Platform engineers, enterprise security architects, developer community</w:t>
            </w:r>
          </w:p>
          <w:p>
            <w:pPr>
              <w:spacing w:before="0" w:after="16"/>
            </w:pPr>
            <w:r>
              <w:rPr>
                <w:rFonts w:ascii="Arial" w:cs="Arial" w:eastAsia="Arial" w:hAnsi="Arial"/>
                <w:i/>
                <w:iCs/>
                <w:color w:val="0A0A0A"/>
                <w:sz w:val="21"/>
                <w:szCs w:val="21"/>
              </w:rPr>
              <w:t xml:space="preserve">'Every other agent builder in existence works on plaintext. AMAIMA works on plaintext and encrypted data. Here is what that means for the workflows enterprises have been unable to build until now.'</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zero trust agent builder  /  fhe workflow nodes  /  encrypted ai pipeline  /  langchain fhe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Enterprise security architects share it. Fortune 500 IT teams find it via Google. CISO inbound begins.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12</w:t>
            </w:r>
          </w:p>
        </w:tc>
        <w:tc>
          <w:tcPr>
            <w:tcW w:type="dxa" w:w="8760"/>
            <w:tcBorders>
              <w:top w:val="single" w:color="0A0A0A" w:sz="10"/>
              <w:left w:val="single" w:color="0A0A0A" w:sz="10"/>
              <w:bottom w:val="single" w:color="0A0A0A" w:sz="10"/>
              <w:right w:val="single" w:color="0A0A0A" w:sz="10"/>
            </w:tcBorders>
            <w:shd w:fill="EDE7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Substack Deep Dive: Post-Quantum Security in an AI Platform — What 128-bit RLWE Means in Practice</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Substack — AMAIMA technical newsletter, issue 2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Security researchers, cryptography community, DARPA contractors, defense primes</w:t>
            </w:r>
          </w:p>
          <w:p>
            <w:pPr>
              <w:spacing w:before="0" w:after="16"/>
            </w:pPr>
            <w:r>
              <w:rPr>
                <w:rFonts w:ascii="Arial" w:cs="Arial" w:eastAsia="Arial" w:hAnsi="Arial"/>
                <w:i/>
                <w:iCs/>
                <w:color w:val="0A0A0A"/>
                <w:sz w:val="21"/>
                <w:szCs w:val="21"/>
              </w:rPr>
              <w:t xml:space="preserve">'AMAIMA uses 128-bit RLWE lattice cryptography — resistant to both classical and quantum attacks. Here is what that actually means, what it costs in compute, and who it matters to today versus in 2030.'</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post quantum ai security  /  rlwe 128 bit ai  /  quantum resistant ai inference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Defense prime contractors find it. DARPA program managers reference it. NSA research team sees it.</w:t>
            </w:r>
          </w:p>
        </w:tc>
      </w:tr>
    </w:tbl>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4D52"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3 — BIOLOGY &amp; DRUG DISCOVERY</w:t>
            </w:r>
          </w:p>
          <w:p>
            <w:pPr>
              <w:spacing w:before="0" w:after="0"/>
            </w:pPr>
            <w:r>
              <w:rPr>
                <w:rFonts w:ascii="Arial" w:cs="Arial" w:eastAsia="Arial" w:hAnsi="Arial"/>
                <w:color w:val="CCCCCC"/>
                <w:sz w:val="20"/>
                <w:szCs w:val="20"/>
              </w:rPr>
              <w:t xml:space="preserve">Five posts that establish AMAIMA as the most complete biology AI platform available to biopharma and academic researchers. These reach exactly the people who will become the first paying Enterprise customers.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13</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The 5-Model Biology Stack: AlphaFold2, DiffDock, GenMol, ESM2, MegaMolBART in One Pipeline</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Hugging Face Blog + GitHub as reference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Bioinformaticians, drug discovery researchers, pharma R&amp;D, academic biology labs</w:t>
            </w:r>
          </w:p>
          <w:p>
            <w:pPr>
              <w:spacing w:before="0" w:after="16"/>
            </w:pPr>
            <w:r>
              <w:rPr>
                <w:rFonts w:ascii="Arial" w:cs="Arial" w:eastAsia="Arial" w:hAnsi="Arial"/>
                <w:i/>
                <w:iCs/>
                <w:color w:val="0A0A0A"/>
                <w:sz w:val="21"/>
                <w:szCs w:val="21"/>
              </w:rPr>
              <w:t xml:space="preserve">'NVIDIA BioNeMo gives you five of the most important models in drug discovery. Here is how they connect as a sequential pipeline — from target protein to docked candidate — via REST API in 30 lines of Python.'</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nvidia bionemo pipeline  /  alphafold2 diffdock api  /  drug discovery pipeline python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Pharma researchers bookmark it. GitHub stars from academic labs. First biopharma pilot inquiry.</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14</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bioRxiv Preprint: Encrypted Molecular Generation — Running the BioNeMo Stack on Ciphertext</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bioRxiv — formal preprint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Drug discovery researchers, pharma R&amp;D teams, academic labs, DARPA BTO reviewers</w:t>
            </w:r>
          </w:p>
          <w:p>
            <w:pPr>
              <w:spacing w:before="0" w:after="16"/>
            </w:pPr>
            <w:r>
              <w:rPr>
                <w:rFonts w:ascii="Arial" w:cs="Arial" w:eastAsia="Arial" w:hAnsi="Arial"/>
                <w:i/>
                <w:iCs/>
                <w:color w:val="0A0A0A"/>
                <w:sz w:val="21"/>
                <w:szCs w:val="21"/>
              </w:rPr>
              <w:t xml:space="preserve">'We report the first production deployment of NVIDIA BioNeMo models operating on Fully Homomorphic Encrypted molecular data. AlphaFold2 structure prediction, DiffDock binding estimation, and GenMol generation — all on ciphertext with 128-bit post-quantum security.'</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encrypted drug discovery preprint  /  bionemo fhe preprint  /  alphafold2 encrypted data</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Academic citation established. DARPA BTO reviewers find it. Pharma research directors share within teams.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15</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Tutorial: Build an Encrypted Drug Discovery Pipeline in the AMAIMA Agent Builder — No Code Required</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YouTube (screen recording) + LinkedIn + X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Drug discovery teams, biopharma IT, lab researchers who do not code</w:t>
            </w:r>
          </w:p>
          <w:p>
            <w:pPr>
              <w:spacing w:before="0" w:after="16"/>
            </w:pPr>
            <w:r>
              <w:rPr>
                <w:rFonts w:ascii="Arial" w:cs="Arial" w:eastAsia="Arial" w:hAnsi="Arial"/>
                <w:i/>
                <w:iCs/>
                <w:color w:val="0A0A0A"/>
                <w:sz w:val="21"/>
                <w:szCs w:val="21"/>
              </w:rPr>
              <w:t xml:space="preserve">'Drag AlphaFold2 → DiffDock → GenMol → Encrypted Drug Score onto the canvas. Connect them. Press run. The entire pipeline processes your compound library as ciphertext. Here is the 5-minute walkthrough.'</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encrypted drug discovery tutorial  /  amaima agent builder drug discovery</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YouTube shares within pharma research community. LinkedIn views from biopharma executives. Pilot inquiries.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16</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X Thread: I Just Ran AlphaFold2 on Encrypted Protein Data. Here Is What the Server Saw.</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X — video thread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Biology researchers, healthcare researchers, pharma, academic labs, biotech</w:t>
            </w:r>
          </w:p>
          <w:p>
            <w:pPr>
              <w:spacing w:before="0" w:after="16"/>
            </w:pPr>
            <w:r>
              <w:rPr>
                <w:rFonts w:ascii="Arial" w:cs="Arial" w:eastAsia="Arial" w:hAnsi="Arial"/>
                <w:i/>
                <w:iCs/>
                <w:color w:val="0A0A0A"/>
                <w:sz w:val="21"/>
                <w:szCs w:val="21"/>
              </w:rPr>
              <w:t xml:space="preserve">'Input: ciphertext. Process: homomorphic computation. Output: encrypted structure. The server saw: nothing. The client decrypted: a folded protein structure. Thread on what this means for clinical research data. [2-min video]'</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alphafold2 encrypted  /  fhe protein structure  /  encrypted biology ai</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Biotech founders repost. Pharma researchers forward to colleagues. One inquiry per week from here.</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17</w:t>
            </w:r>
          </w:p>
        </w:tc>
        <w:tc>
          <w:tcPr>
            <w:tcW w:type="dxa" w:w="8760"/>
            <w:tcBorders>
              <w:top w:val="single" w:color="0A0A0A" w:sz="10"/>
              <w:left w:val="single" w:color="0A0A0A" w:sz="10"/>
              <w:bottom w:val="single" w:color="0A0A0A" w:sz="10"/>
              <w:right w:val="single" w:color="0A0A0A" w:sz="10"/>
            </w:tcBorders>
            <w:shd w:fill="E0F7FA"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Miami to the Molecule: Building a Complete Drug Discovery Platform from South Florida</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BioFlorida community + local Miami press pitch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Florida biotech community, BioFlorida network, Miami angels, local press</w:t>
            </w:r>
          </w:p>
          <w:p>
            <w:pPr>
              <w:spacing w:before="0" w:after="16"/>
            </w:pPr>
            <w:r>
              <w:rPr>
                <w:rFonts w:ascii="Arial" w:cs="Arial" w:eastAsia="Arial" w:hAnsi="Arial"/>
                <w:i/>
                <w:iCs/>
                <w:color w:val="0A0A0A"/>
                <w:sz w:val="21"/>
                <w:szCs w:val="21"/>
              </w:rPr>
              <w:t xml:space="preserve">'I built a five-model drug discovery pipeline in North Miami — AlphaFold2, DiffDock, GenMol, ESM2, MegaMolBART — with full FHE encryption. Here is what BioFlorida and the Florida biotech community need to know about what is running in their backyard.'</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miami biotech ai  /  florida drug discovery ai  /  bioflorida ai platform</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BioFlorida network shares. Miami Herald and South Florida Business Journal potential. Angel network introduction.</w:t>
            </w:r>
          </w:p>
        </w:tc>
      </w:tr>
    </w:tbl>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F360C"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4 — DEVELOPER COMMUNITY</w:t>
            </w:r>
          </w:p>
          <w:p>
            <w:pPr>
              <w:spacing w:before="0" w:after="0"/>
            </w:pPr>
            <w:r>
              <w:rPr>
                <w:rFonts w:ascii="Arial" w:cs="Arial" w:eastAsia="Arial" w:hAnsi="Arial"/>
                <w:color w:val="CCCCCC"/>
                <w:sz w:val="20"/>
                <w:szCs w:val="20"/>
              </w:rPr>
              <w:t xml:space="preserve">Six posts targeting the developer community. These drive GitHub stars, Hugging Face follows, community contributions, and the organic word-of-mouth that VCs interpret as traction. Every developer who shares one of these posts is an unpaid ambassador.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18</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5 Lines of Python to FHE: The Complete Encrypt → Compute → Decrypt Cycle on AMAIMA</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YouTube (Jupyter walkthrough) + Hugging Face Spaces (live demo) + Dev.to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Python developers, ML engineers, security engineers, developer community</w:t>
            </w:r>
          </w:p>
          <w:p>
            <w:pPr>
              <w:spacing w:before="0" w:after="16"/>
            </w:pPr>
            <w:r>
              <w:rPr>
                <w:rFonts w:ascii="Arial" w:cs="Arial" w:eastAsia="Arial" w:hAnsi="Arial"/>
                <w:i/>
                <w:iCs/>
                <w:color w:val="0A0A0A"/>
                <w:sz w:val="21"/>
                <w:szCs w:val="21"/>
              </w:rPr>
              <w:t xml:space="preserve">'Encrypt your data. Send ciphertext to AMAIMA. Receive ciphertext. Decrypt locally. The server never saw your plaintext. Here is the complete cycle in 5 lines of Python — with a live endpoint you can call right now.'</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fhe python tutorial  /  tenseal amaima  /  homomorphic encryption python api</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Hugging Face Spaces gets daily users. YouTube embeds in developer blogs. GitHub stars from FHE community.</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19</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GitHub README Rewrite: AMAIMA Architecture Diagram + Domain Map + FHE Subsystem Overview</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GitHub — the repo itself (README commit) + announce on X and LinkedIn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Developers who find the repo via search, GitHub trending, NVIDIA ecosystem developers</w:t>
            </w:r>
          </w:p>
          <w:p>
            <w:pPr>
              <w:spacing w:before="0" w:after="16"/>
            </w:pPr>
            <w:r>
              <w:rPr>
                <w:rFonts w:ascii="Arial" w:cs="Arial" w:eastAsia="Arial" w:hAnsi="Arial"/>
                <w:i/>
                <w:iCs/>
                <w:color w:val="0A0A0A"/>
                <w:sz w:val="21"/>
                <w:szCs w:val="21"/>
              </w:rPr>
              <w:t xml:space="preserve">'Not a README. An architecture document. Every model, every service, every route, every FHE endpoint — mapped. If you want to understand how 26 NIM models coexist in one production system, start here.'</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amaima github  /  nvidia nim platform github  /  multimodal ai platform open source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GitHub stars accelerate. Trending potential on GitHub. Developers fork and contribute. VC monitoring triggers.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20</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Reddit r/MachineLearning: Benchmarking FHE on a 26-Model Multimodal Stack [With Numbers]</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Reddit r/MachineLearning + r/cryptography cross-post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Global ML research community, cryptography researchers, startup engineers</w:t>
            </w:r>
          </w:p>
          <w:p>
            <w:pPr>
              <w:spacing w:before="0" w:after="16"/>
            </w:pPr>
            <w:r>
              <w:rPr>
                <w:rFonts w:ascii="Arial" w:cs="Arial" w:eastAsia="Arial" w:hAnsi="Arial"/>
                <w:i/>
                <w:iCs/>
                <w:color w:val="0A0A0A"/>
                <w:sz w:val="21"/>
                <w:szCs w:val="21"/>
              </w:rPr>
              <w:t xml:space="preserve">'I built a production FHE layer on top of 26 NVIDIA NIM models. Here are the actual benchmark numbers: ~1.1s latency, CKKS scheme, 128-bit RLWE, 5 verified operations. Questions welcome.'</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fhe inference benchmark  /  ckks multimodal ai  /  homomorphic encryption benchmark 2026</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Upvotes from ML community. Researchers DM for collaboration. arXiv preprint citation follows.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21</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Dev.to Tutorial: Build a Multi-Agent Drug Discovery Crew with AMAIMA in 20 Minutes</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Dev.to + cross-post to Hashnode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Developer community, biology developers, AI builders</w:t>
            </w:r>
          </w:p>
          <w:p>
            <w:pPr>
              <w:spacing w:before="0" w:after="16"/>
            </w:pPr>
            <w:r>
              <w:rPr>
                <w:rFonts w:ascii="Arial" w:cs="Arial" w:eastAsia="Arial" w:hAnsi="Arial"/>
                <w:i/>
                <w:iCs/>
                <w:color w:val="0A0A0A"/>
                <w:sz w:val="21"/>
                <w:szCs w:val="21"/>
              </w:rPr>
              <w:t xml:space="preserve">'One API. Five biology models. One orchestration layer. Here is how to build a CrewAI-style drug discovery workflow with AMAIMA — from protein target to ranked compound list — in 20 minutes.'</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crewai drug discovery  /  langchain bionemo  /  multi agent drug discovery python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Developer community shares. Hashnode featured potential. Contributes to GitHub star momentum.</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22</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Substack: The Mobile ML Engine Nobody Talks About — On-Device AI That Connects to the Same Backend</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Substack — AMAIMA technical newsletter, issue 3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Mobile ML engineers, Android developers, enterprise mobile teams</w:t>
            </w:r>
          </w:p>
          <w:p>
            <w:pPr>
              <w:spacing w:before="0" w:after="16"/>
            </w:pPr>
            <w:r>
              <w:rPr>
                <w:rFonts w:ascii="Arial" w:cs="Arial" w:eastAsia="Arial" w:hAnsi="Arial"/>
                <w:i/>
                <w:iCs/>
                <w:color w:val="0A0A0A"/>
                <w:sz w:val="21"/>
                <w:szCs w:val="21"/>
              </w:rPr>
              <w:t xml:space="preserve">'The native Android ML engine in AMAIMA: ONNX + TFLite dual-runtime, Whisper STT, vision OCR, local vector search, SHA-256 model integrity, 500MB LRU cache. On-device ML with the same billing layer as the cloud models. Here is why it matters.'</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on device ai android  /  tflite onnx production  /  mobile ml backend integration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Mobile ML community subscribes. Android developer community shares. Investor technical credibility marker.</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23</w:t>
            </w:r>
          </w:p>
        </w:tc>
        <w:tc>
          <w:tcPr>
            <w:tcW w:type="dxa" w:w="8760"/>
            <w:tcBorders>
              <w:top w:val="single" w:color="0A0A0A" w:sz="10"/>
              <w:left w:val="single" w:color="0A0A0A" w:sz="10"/>
              <w:bottom w:val="single" w:color="0A0A0A" w:sz="10"/>
              <w:right w:val="single" w:color="0A0A0A" w:sz="10"/>
            </w:tcBorders>
            <w:shd w:fill="FFF3E0"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X Thread: 63 Tests. That Is What It Takes to Run 26 Models in Production.</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X — technical thread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Engineering-focused developers, technical investors, startup CTOs</w:t>
            </w:r>
          </w:p>
          <w:p>
            <w:pPr>
              <w:spacing w:before="0" w:after="16"/>
            </w:pPr>
            <w:r>
              <w:rPr>
                <w:rFonts w:ascii="Arial" w:cs="Arial" w:eastAsia="Arial" w:hAnsi="Arial"/>
                <w:i/>
                <w:iCs/>
                <w:color w:val="0A0A0A"/>
                <w:sz w:val="21"/>
                <w:szCs w:val="21"/>
              </w:rPr>
              <w:t xml:space="preserve">'55 unit tests. 8 integration tests. 90%+ backend coverage. When your system has 26 models, 11 FHE endpoints, and 6 domain services — testing is not a best practice. It is the architecture. Here is what the test suite looks like. [3/7]'</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production ai testing  /  multi model platform tests  /  llm platform test coverage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Technical investors screenshot it as proof of engineering rigor. Developers star the GitHub repo.</w:t>
            </w:r>
          </w:p>
        </w:tc>
      </w:tr>
    </w:tbl>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5 — ENTERPRISE &amp; CISO</w:t>
            </w:r>
          </w:p>
          <w:p>
            <w:pPr>
              <w:spacing w:before="0" w:after="0"/>
            </w:pPr>
            <w:r>
              <w:rPr>
                <w:rFonts w:ascii="Arial" w:cs="Arial" w:eastAsia="Arial" w:hAnsi="Arial"/>
                <w:color w:val="CCCCCC"/>
                <w:sz w:val="20"/>
                <w:szCs w:val="20"/>
              </w:rPr>
              <w:t xml:space="preserve">Four posts that speak directly to the people who sign enterprise contracts: CISOs, Chief Compliance Officers, General Counsel, and the IT leadership of regulated industries. Every post in this section is designed to be forwarded from a CISO to their CISO network.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24</w:t>
            </w:r>
          </w:p>
        </w:tc>
        <w:tc>
          <w:tcPr>
            <w:tcW w:type="dxa" w:w="8760"/>
            <w:tcBorders>
              <w:top w:val="single" w:color="0A0A0A" w:sz="10"/>
              <w:left w:val="single" w:color="0A0A0A" w:sz="10"/>
              <w:bottom w:val="single" w:color="0A0A0A" w:sz="10"/>
              <w:right w:val="single" w:color="0A0A0A" w:sz="10"/>
            </w:tcBorders>
            <w:shd w:fill="E8EA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LinkedIn Article: The AI Adoption Conversation That Ends When You Say 'Mathematical Guarantee'</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long-form, targeting compliance and legal readership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Chief Compliance Officers, General Counsel, CISO community, Fortune 500 IT leadership</w:t>
            </w:r>
          </w:p>
          <w:p>
            <w:pPr>
              <w:spacing w:before="0" w:after="16"/>
            </w:pPr>
            <w:r>
              <w:rPr>
                <w:rFonts w:ascii="Arial" w:cs="Arial" w:eastAsia="Arial" w:hAnsi="Arial"/>
                <w:i/>
                <w:iCs/>
                <w:color w:val="0A0A0A"/>
                <w:sz w:val="21"/>
                <w:szCs w:val="21"/>
              </w:rPr>
              <w:t xml:space="preserve">'Your legal team has been blocking AI adoption because no vendor can guarantee they never see your data. Here is the platform where that conversation ends — because the server processes ciphertext. It is architecturally incapable of reading your data.'</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ai data compliance architecture  /  fhe enterprise ai compliance  /  zero trust ai inference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CCOs forward to legal teams. CISOs share within CISO networks. Fortune 500 IT teams find via LinkedIn search.</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25</w:t>
            </w:r>
          </w:p>
        </w:tc>
        <w:tc>
          <w:tcPr>
            <w:tcW w:type="dxa" w:w="8760"/>
            <w:tcBorders>
              <w:top w:val="single" w:color="0A0A0A" w:sz="10"/>
              <w:left w:val="single" w:color="0A0A0A" w:sz="10"/>
              <w:bottom w:val="single" w:color="0A0A0A" w:sz="10"/>
              <w:right w:val="single" w:color="0A0A0A" w:sz="10"/>
            </w:tcBorders>
            <w:shd w:fill="E8EA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The GDPR-Proof AI Stack: How FHE Makes Cloud AI Inference Legally Unproblematic in the EU</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legal/compliance publication pitch (Above the Law, Compliance Week)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European enterprise legal and compliance, GDPR officers, EU-based Fortune 500 IT</w:t>
            </w:r>
          </w:p>
          <w:p>
            <w:pPr>
              <w:spacing w:before="0" w:after="16"/>
            </w:pPr>
            <w:r>
              <w:rPr>
                <w:rFonts w:ascii="Arial" w:cs="Arial" w:eastAsia="Arial" w:hAnsi="Arial"/>
                <w:i/>
                <w:iCs/>
                <w:color w:val="0A0A0A"/>
                <w:sz w:val="21"/>
                <w:szCs w:val="21"/>
              </w:rPr>
              <w:t xml:space="preserve">'GDPR Article 25 requires data protection by design and by default. FHE is the only technical approach that satisfies this requirement at the inference layer. Here is the architecture and the legal argument.'</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gdpr ai compliance  /  gdpr fhe  /  gdpr ai inference data protection</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EU enterprise finds it via Google. Compliance publication pick-up. European VC notices AMAIMA.</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26</w:t>
            </w:r>
          </w:p>
        </w:tc>
        <w:tc>
          <w:tcPr>
            <w:tcW w:type="dxa" w:w="8760"/>
            <w:tcBorders>
              <w:top w:val="single" w:color="0A0A0A" w:sz="10"/>
              <w:left w:val="single" w:color="0A0A0A" w:sz="10"/>
              <w:bottom w:val="single" w:color="0A0A0A" w:sz="10"/>
              <w:right w:val="single" w:color="0A0A0A" w:sz="10"/>
            </w:tcBorders>
            <w:shd w:fill="E8EA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The CISO's Guide to AI Platforms: Why Policy Guarantees and Architecture Guarantees Are Not the Same Thing</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CISO-focused publication pitch (CSO Online, Dark Reading)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CISOs, information security teams, enterprise IT risk managers</w:t>
            </w:r>
          </w:p>
          <w:p>
            <w:pPr>
              <w:spacing w:before="0" w:after="16"/>
            </w:pPr>
            <w:r>
              <w:rPr>
                <w:rFonts w:ascii="Arial" w:cs="Arial" w:eastAsia="Arial" w:hAnsi="Arial"/>
                <w:i/>
                <w:iCs/>
                <w:color w:val="0A0A0A"/>
                <w:sz w:val="21"/>
                <w:szCs w:val="21"/>
              </w:rPr>
              <w:t xml:space="preserve">'Every AI vendor's BAA says they protect your data. Here is why that promise is insufficient — and what 'protection by architecture' via Fully Homomorphic Encryption actually means for your threat model.'</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ciso ai security  /  ai data privacy architecture  /  fhe ciso guide</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CSO Online or Dark Reading pick-up makes AMAIMA visible to every enterprise CISO globally.</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27</w:t>
            </w:r>
          </w:p>
        </w:tc>
        <w:tc>
          <w:tcPr>
            <w:tcW w:type="dxa" w:w="8760"/>
            <w:tcBorders>
              <w:top w:val="single" w:color="0A0A0A" w:sz="10"/>
              <w:left w:val="single" w:color="0A0A0A" w:sz="10"/>
              <w:bottom w:val="single" w:color="0A0A0A" w:sz="10"/>
              <w:right w:val="single" w:color="0A0A0A" w:sz="10"/>
            </w:tcBorders>
            <w:shd w:fill="E8EAF6"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What Biopharma's Most Expensive Asset (The Compound Library) Has to Do with Fully Homomorphic Encryption</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BioFlorida community + pitch to Fierce Biotech, STAT News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Biopharma executives, pharma R&amp;D leadership, biotech founders, pharma investors</w:t>
            </w:r>
          </w:p>
          <w:p>
            <w:pPr>
              <w:spacing w:before="0" w:after="16"/>
            </w:pPr>
            <w:r>
              <w:rPr>
                <w:rFonts w:ascii="Arial" w:cs="Arial" w:eastAsia="Arial" w:hAnsi="Arial"/>
                <w:i/>
                <w:iCs/>
                <w:color w:val="0A0A0A"/>
                <w:sz w:val="21"/>
                <w:szCs w:val="21"/>
              </w:rPr>
              <w:t xml:space="preserve">'Pharma companies spend decades and billions building compound libraries. They will not send them to any cloud AI system for drug scoring. Until now. Here is what changes when the inference server processes ciphertext and never sees the plaintext.'</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biopharma ai data security  /  compound library ai cloud  /  drug discovery data privacy</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Fierce Biotech coverage makes AMAIMA visible to every biopharma executive globally. First enterprise deal.</w:t>
            </w:r>
          </w:p>
        </w:tc>
      </w:tr>
    </w:tbl>
    <w:p>
      <w:pPr>
        <w:spacing w:before="60" w:after="0"/>
      </w:pPr>
      <w:r>
        <w:t xml:space="preserve"/>
      </w:r>
    </w:p>
    <w:p>
      <w:pPr>
        <w:pBdr>
          <w:bottom w:val="single" w:color="0A0A0A" w:sz="12" w:space="1"/>
        </w:pBdr>
        <w:spacing w:before="160" w:after="1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00"/>
              <w:left w:type="dxa" w:w="280"/>
              <w:bottom w:type="dxa" w:w="200"/>
              <w:right w:type="dxa" w:w="280"/>
            </w:tcMar>
          </w:tcPr>
          <w:p>
            <w:pPr>
              <w:spacing w:before="0" w:after="12"/>
            </w:pPr>
            <w:r>
              <w:rPr>
                <w:rFonts w:ascii="Arial" w:cs="Arial" w:eastAsia="Arial" w:hAnsi="Arial"/>
                <w:b/>
                <w:bCs/>
                <w:color w:val="FFFFFF"/>
                <w:sz w:val="30"/>
                <w:szCs w:val="30"/>
              </w:rPr>
              <w:t xml:space="preserve">SECTION 6 — THOUGHT LEADERSHIP</w:t>
            </w:r>
          </w:p>
          <w:p>
            <w:pPr>
              <w:spacing w:before="0" w:after="0"/>
            </w:pPr>
            <w:r>
              <w:rPr>
                <w:rFonts w:ascii="Arial" w:cs="Arial" w:eastAsia="Arial" w:hAnsi="Arial"/>
                <w:color w:val="CCCCCC"/>
                <w:sz w:val="20"/>
                <w:szCs w:val="20"/>
              </w:rPr>
              <w:t xml:space="preserve">Three posts that position Jacque DeGraff as a thought leader — not just a developer — in the AI and privacy-preserving compute space. These are the posts that journalists quote, investors share, and NVIDIA's communications team notices.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28</w:t>
            </w:r>
          </w:p>
        </w:tc>
        <w:tc>
          <w:tcPr>
            <w:tcW w:type="dxa" w:w="8760"/>
            <w:tcBorders>
              <w:top w:val="single" w:color="0A0A0A" w:sz="10"/>
              <w:left w:val="single" w:color="0A0A0A" w:sz="10"/>
              <w:bottom w:val="single" w:color="0A0A0A" w:sz="10"/>
              <w:right w:val="single" w:color="0A0A0A" w:sz="10"/>
            </w:tcBorders>
            <w:shd w:fill="F2F2F2"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LinkedIn: What ElevenLabs at $11B, Skild at $14B, and Thinking Machines at $12B All Have in Common — And What They're Missing</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thought leadership piece targeting investors and enterprise AI decision makers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VCs, enterprise AI buyers, NVIDIA partners, startup founders, press</w:t>
            </w:r>
          </w:p>
          <w:p>
            <w:pPr>
              <w:spacing w:before="0" w:after="16"/>
            </w:pPr>
            <w:r>
              <w:rPr>
                <w:rFonts w:ascii="Arial" w:cs="Arial" w:eastAsia="Arial" w:hAnsi="Arial"/>
                <w:i/>
                <w:iCs/>
                <w:color w:val="0A0A0A"/>
                <w:sz w:val="21"/>
                <w:szCs w:val="21"/>
              </w:rPr>
              <w:t xml:space="preserve">'The market has valued single-domain AI companies at $11B–$14B. It has valued companies with no live product at $12B. What happens when one platform has all six domains, a live product, and the world's first production FHE layer? The math is not complicated.'</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multimodal ai platform valuation  /  ai platform comparison 2026  /  fhe ai platform</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VCs screenshot and share it. NVIDIA's IR team sees it. Journalist at TechCrunch or Forbes DMs.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29</w:t>
            </w:r>
          </w:p>
        </w:tc>
        <w:tc>
          <w:tcPr>
            <w:tcW w:type="dxa" w:w="8760"/>
            <w:tcBorders>
              <w:top w:val="single" w:color="0A0A0A" w:sz="10"/>
              <w:left w:val="single" w:color="0A0A0A" w:sz="10"/>
              <w:bottom w:val="single" w:color="0A0A0A" w:sz="10"/>
              <w:right w:val="single" w:color="0A0A0A" w:sz="10"/>
            </w:tcBorders>
            <w:shd w:fill="F2F2F2"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Substack: The Platform Playbook Nobody Writes — Building a $B-Val AI OS Alone in 90 Days</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Substack — AMAIMA technical newsletter, issue 4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Technical founders, solo developers, developer-first founders, YC community</w:t>
            </w:r>
          </w:p>
          <w:p>
            <w:pPr>
              <w:spacing w:before="0" w:after="16"/>
            </w:pPr>
            <w:r>
              <w:rPr>
                <w:rFonts w:ascii="Arial" w:cs="Arial" w:eastAsia="Arial" w:hAnsi="Arial"/>
                <w:i/>
                <w:iCs/>
                <w:color w:val="0A0A0A"/>
                <w:sz w:val="21"/>
                <w:szCs w:val="21"/>
              </w:rPr>
              <w:t xml:space="preserve">'Most startup advice is written for companies with teams, funding, and time. Here is the playbook for building without any of those things — and what it produces when the architecture decisions are right from the start.'</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solo ai startup  /  building ai platform alone  /  developer founder ai</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YC Hacker News potential. Technical founders share widely. Recruits first community contributors.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0A0A" w:val="clear"/>
            <w:tcMar>
              <w:top w:type="dxa" w:w="0"/>
              <w:left w:type="dxa" w:w="0"/>
              <w:bottom w:type="dxa" w:w="0"/>
              <w:right w:type="dxa" w:w="0"/>
            </w:tcMar>
          </w:tcPr>
          <w:p>
            <w:pPr>
              <w:jc w:val="center"/>
            </w:pPr>
            <w:r>
              <w:rPr>
                <w:rFonts w:ascii="Arial" w:cs="Arial" w:eastAsia="Arial" w:hAnsi="Arial"/>
                <w:b/>
                <w:bCs/>
                <w:color w:val="FFFFFF"/>
                <w:sz w:val="28"/>
                <w:szCs w:val="28"/>
              </w:rPr>
              <w:t xml:space="preserve">30</w:t>
            </w:r>
          </w:p>
        </w:tc>
        <w:tc>
          <w:tcPr>
            <w:tcW w:type="dxa" w:w="8760"/>
            <w:tcBorders>
              <w:top w:val="single" w:color="0A0A0A" w:sz="10"/>
              <w:left w:val="single" w:color="0A0A0A" w:sz="10"/>
              <w:bottom w:val="single" w:color="0A0A0A" w:sz="10"/>
              <w:right w:val="single" w:color="0A0A0A" w:sz="10"/>
            </w:tcBorders>
            <w:shd w:fill="F2F2F2" w:val="clear"/>
            <w:tcMar>
              <w:top w:type="dxa" w:w="180"/>
              <w:left w:type="dxa" w:w="240"/>
              <w:bottom w:type="dxa" w:w="180"/>
              <w:right w:type="dxa" w:w="240"/>
            </w:tcMar>
          </w:tcPr>
          <w:p>
            <w:pPr>
              <w:spacing w:before="0" w:after="12"/>
            </w:pPr>
            <w:r>
              <w:rPr>
                <w:rFonts w:ascii="Arial" w:cs="Arial" w:eastAsia="Arial" w:hAnsi="Arial"/>
                <w:b/>
                <w:bCs/>
                <w:color w:val="0A0A0A"/>
                <w:sz w:val="24"/>
                <w:szCs w:val="24"/>
              </w:rPr>
              <w:t xml:space="preserve">From North Miami to DARPA: What Encrypted AI Means for National Security — And Why It Was Built in Florida</w:t>
            </w:r>
          </w:p>
          <w:p>
            <w:pPr>
              <w:spacing w:before="0" w:after="16"/>
            </w:pPr>
            <w:r>
              <w:rPr>
                <w:rFonts w:ascii="Arial" w:cs="Arial" w:eastAsia="Arial" w:hAnsi="Arial"/>
                <w:b/>
                <w:bCs/>
                <w:caps/>
                <w:color w:val="777777"/>
                <w:sz w:val="17"/>
                <w:szCs w:val="17"/>
              </w:rPr>
              <w:t xml:space="preserve">PLATFORM: </w:t>
            </w:r>
            <w:r>
              <w:rPr>
                <w:rFonts w:ascii="Arial" w:cs="Arial" w:eastAsia="Arial" w:hAnsi="Arial"/>
                <w:color w:val="777777"/>
                <w:sz w:val="17"/>
                <w:szCs w:val="17"/>
              </w:rPr>
              <w:t xml:space="preserve">LinkedIn + pitch to TechCrunch, Wired, Miami Herald   </w:t>
            </w:r>
            <w:r>
              <w:rPr>
                <w:rFonts w:ascii="Arial" w:cs="Arial" w:eastAsia="Arial" w:hAnsi="Arial"/>
                <w:b/>
                <w:bCs/>
                <w:caps/>
                <w:color w:val="777777"/>
                <w:sz w:val="17"/>
                <w:szCs w:val="17"/>
              </w:rPr>
              <w:t xml:space="preserve">AUDIENCE: </w:t>
            </w:r>
            <w:r>
              <w:rPr>
                <w:rFonts w:ascii="Arial" w:cs="Arial" w:eastAsia="Arial" w:hAnsi="Arial"/>
                <w:color w:val="777777"/>
                <w:sz w:val="17"/>
                <w:szCs w:val="17"/>
              </w:rPr>
              <w:t xml:space="preserve">Press, investors, DARPA program managers, defense primes, Florida government</w:t>
            </w:r>
          </w:p>
          <w:p>
            <w:pPr>
              <w:spacing w:before="0" w:after="16"/>
            </w:pPr>
            <w:r>
              <w:rPr>
                <w:rFonts w:ascii="Arial" w:cs="Arial" w:eastAsia="Arial" w:hAnsi="Arial"/>
                <w:i/>
                <w:iCs/>
                <w:color w:val="0A0A0A"/>
                <w:sz w:val="21"/>
                <w:szCs w:val="21"/>
              </w:rPr>
              <w:t xml:space="preserve">'DARPA has been funding FHE research for classified AI on unclassified infrastructure for years. The answer to their research question was built in North Miami, alone, in under 90 days. Here is the story.'</w:t>
            </w:r>
          </w:p>
          <w:p>
            <w:pPr>
              <w:spacing w:before="0" w:after="12"/>
            </w:pPr>
            <w:r>
              <w:rPr>
                <w:rFonts w:ascii="Arial" w:cs="Arial" w:eastAsia="Arial" w:hAnsi="Arial"/>
                <w:b/>
                <w:bCs/>
                <w:caps/>
                <w:color w:val="004D52"/>
                <w:sz w:val="17"/>
                <w:szCs w:val="17"/>
              </w:rPr>
              <w:t xml:space="preserve">OWNS: </w:t>
            </w:r>
            <w:r>
              <w:rPr>
                <w:rFonts w:ascii="Courier New" w:cs="Courier New" w:eastAsia="Courier New" w:hAnsi="Courier New"/>
                <w:color w:val="004D52"/>
                <w:sz w:val="17"/>
                <w:szCs w:val="17"/>
              </w:rPr>
              <w:t xml:space="preserve">miami ai startup  /  florida ai company  /  darpa fhe ai  /  encrypted ai national security</w:t>
            </w:r>
          </w:p>
          <w:p>
            <w:pPr>
              <w:spacing w:before="0" w:after="0"/>
            </w:pPr>
            <w:r>
              <w:rPr>
                <w:rFonts w:ascii="Arial" w:cs="Arial" w:eastAsia="Arial" w:hAnsi="Arial"/>
                <w:b/>
                <w:bCs/>
                <w:caps/>
                <w:color w:val="BF360C"/>
                <w:sz w:val="17"/>
                <w:szCs w:val="17"/>
              </w:rPr>
              <w:t xml:space="preserve">COMPOUNDS INTO: </w:t>
            </w:r>
            <w:r>
              <w:rPr>
                <w:rFonts w:ascii="Arial" w:cs="Arial" w:eastAsia="Arial" w:hAnsi="Arial"/>
                <w:color w:val="BF360C"/>
                <w:sz w:val="17"/>
                <w:szCs w:val="17"/>
              </w:rPr>
              <w:t xml:space="preserve">TechCrunch or Wired pick-up changes everything. Miami Herald drives local investment. DARPA PM DMs directly.</w:t>
            </w:r>
          </w:p>
        </w:tc>
      </w:tr>
    </w:tbl>
    <w:p>
      <w:pPr>
        <w:spacing w:before="80" w:after="0"/>
      </w:pPr>
      <w:r>
        <w:t xml:space="preserve"/>
      </w:r>
    </w:p>
    <w:p>
      <w:pPr>
        <w:pBdr>
          <w:bottom w:val="single" w:color="0A0A0A" w:sz="16" w:space="1"/>
        </w:pBdr>
        <w:spacing w:before="160" w:after="160"/>
      </w:pPr>
      <w:r>
        <w:t xml:space="preserve"/>
      </w:r>
    </w:p>
    <w:p>
      <w:pPr>
        <w:pStyle w:val="Heading1"/>
        <w:spacing w:before="480" w:after="160"/>
      </w:pPr>
      <w:r>
        <w:rPr>
          <w:rFonts w:ascii="Arial" w:cs="Arial" w:eastAsia="Arial" w:hAnsi="Arial"/>
          <w:b/>
          <w:bCs/>
          <w:color w:val="0A0A0A"/>
          <w:sz w:val="42"/>
          <w:szCs w:val="42"/>
        </w:rPr>
        <w:t xml:space="preserve">The 90-Day Publishing Sequence</w:t>
      </w:r>
    </w:p>
    <w:p>
      <w:pPr>
        <w:spacing w:before="70" w:after="70"/>
      </w:pPr>
      <w:r>
        <w:rPr>
          <w:rFonts w:ascii="Arial" w:cs="Arial" w:eastAsia="Arial" w:hAnsi="Arial"/>
          <w:color w:val="0A0A0A"/>
          <w:sz w:val="22"/>
          <w:szCs w:val="22"/>
        </w:rPr>
        <w:t xml:space="preserve">Produce in this order. Each wave builds on the previous one — authority in one community amplifies reach in the next.</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Borders>
              <w:top w:val="single" w:color="DDDDDD" w:sz="2"/>
              <w:left w:val="single" w:color="DDDDDD" w:sz="2"/>
              <w:bottom w:val="single" w:color="DDDDDD" w:sz="2"/>
              <w:right w:val="single" w:color="DDDDDD" w:sz="2"/>
            </w:tcBorders>
            <w:shd w:fill="0A0A0A" w:val="clear"/>
            <w:tcMar>
              <w:top w:type="dxa" w:w="100"/>
              <w:left w:type="dxa" w:w="140"/>
              <w:bottom w:type="dxa" w:w="100"/>
              <w:right w:type="dxa" w:w="140"/>
            </w:tcMar>
          </w:tcPr>
          <w:p>
            <w:pPr>
              <w:jc w:val="center"/>
            </w:pPr>
            <w:r>
              <w:rPr>
                <w:rFonts w:ascii="Arial" w:cs="Arial" w:eastAsia="Arial" w:hAnsi="Arial"/>
                <w:b/>
                <w:bCs/>
                <w:caps/>
                <w:color w:val="FFFFFF"/>
                <w:sz w:val="17"/>
                <w:szCs w:val="17"/>
              </w:rPr>
              <w:t xml:space="preserve">WEEK</w:t>
            </w:r>
          </w:p>
        </w:tc>
        <w:tc>
          <w:tcPr>
            <w:tcBorders>
              <w:top w:val="single" w:color="DDDDDD" w:sz="2"/>
              <w:left w:val="single" w:color="DDDDDD" w:sz="2"/>
              <w:bottom w:val="single" w:color="DDDDDD" w:sz="2"/>
              <w:right w:val="single" w:color="DDDDDD" w:sz="2"/>
            </w:tcBorders>
            <w:shd w:fill="0A0A0A" w:val="clear"/>
            <w:tcMar>
              <w:top w:type="dxa" w:w="100"/>
              <w:left w:type="dxa" w:w="140"/>
              <w:bottom w:type="dxa" w:w="100"/>
              <w:right w:type="dxa" w:w="140"/>
            </w:tcMar>
          </w:tcPr>
          <w:p>
            <w:pPr>
              <w:jc w:val="center"/>
            </w:pPr>
            <w:r>
              <w:rPr>
                <w:rFonts w:ascii="Arial" w:cs="Arial" w:eastAsia="Arial" w:hAnsi="Arial"/>
                <w:b/>
                <w:bCs/>
                <w:caps/>
                <w:color w:val="FFFFFF"/>
                <w:sz w:val="17"/>
                <w:szCs w:val="17"/>
              </w:rPr>
              <w:t xml:space="preserve">CARDS</w:t>
            </w:r>
          </w:p>
        </w:tc>
        <w:tc>
          <w:tcPr>
            <w:tcBorders>
              <w:top w:val="single" w:color="DDDDDD" w:sz="2"/>
              <w:left w:val="single" w:color="DDDDDD" w:sz="2"/>
              <w:bottom w:val="single" w:color="DDDDDD" w:sz="2"/>
              <w:right w:val="single" w:color="DDDDDD" w:sz="2"/>
            </w:tcBorders>
            <w:shd w:fill="0A0A0A" w:val="clear"/>
            <w:tcMar>
              <w:top w:type="dxa" w:w="100"/>
              <w:left w:type="dxa" w:w="160"/>
              <w:bottom w:type="dxa" w:w="100"/>
              <w:right w:type="dxa" w:w="140"/>
            </w:tcMar>
          </w:tcPr>
          <w:p>
            <w:r>
              <w:rPr>
                <w:rFonts w:ascii="Arial" w:cs="Arial" w:eastAsia="Arial" w:hAnsi="Arial"/>
                <w:b/>
                <w:bCs/>
                <w:caps/>
                <w:color w:val="FFFFFF"/>
                <w:sz w:val="17"/>
                <w:szCs w:val="17"/>
              </w:rPr>
              <w:t xml:space="preserve">OBJECTIVE</w:t>
            </w:r>
          </w:p>
        </w:tc>
      </w:tr>
      <w:tr>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 1</w:t>
            </w:r>
          </w:p>
        </w:tc>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01, 19, 23</w:t>
            </w:r>
          </w:p>
        </w:tc>
        <w:tc>
          <w:tcPr>
            <w:tcBorders>
              <w:top w:val="single" w:color="DDDDDD" w:sz="2"/>
              <w:left w:val="single" w:color="DDDDDD" w:sz="2"/>
              <w:bottom w:val="single" w:color="DDDDDD" w:sz="2"/>
              <w:right w:val="single" w:color="DDDDDD" w:sz="2"/>
            </w:tcBorders>
            <w:shd w:fill="F2F2F2" w:val="clear"/>
            <w:tcMar>
              <w:top w:type="dxa" w:w="90"/>
              <w:left w:type="dxa" w:w="160"/>
              <w:bottom w:type="dxa" w:w="90"/>
              <w:right w:type="dxa" w:w="140"/>
            </w:tcMar>
          </w:tcPr>
          <w:p>
            <w:r>
              <w:rPr>
                <w:rFonts w:ascii="Arial" w:cs="Arial" w:eastAsia="Arial" w:hAnsi="Arial"/>
                <w:color w:val="0A0A0A"/>
                <w:sz w:val="20"/>
                <w:szCs w:val="20"/>
              </w:rPr>
              <w:t xml:space="preserve">NVIDIA submission filed. GitHub optimized. First X thread live. Platform discoverable by NVIDIA ecosystem.</w:t>
            </w:r>
          </w:p>
        </w:tc>
      </w:tr>
      <w:tr>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 2</w:t>
            </w:r>
          </w:p>
        </w:tc>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02, 03, 18</w:t>
            </w:r>
          </w:p>
        </w:tc>
        <w:tc>
          <w:tcPr>
            <w:tcBorders>
              <w:top w:val="single" w:color="DDDDDD" w:sz="2"/>
              <w:left w:val="single" w:color="DDDDDD" w:sz="2"/>
              <w:bottom w:val="single" w:color="DDDDDD" w:sz="2"/>
              <w:right w:val="single" w:color="DDDDDD" w:sz="2"/>
            </w:tcBorders>
            <w:shd w:fill="FFFFFF" w:val="clear"/>
            <w:tcMar>
              <w:top w:type="dxa" w:w="90"/>
              <w:left w:type="dxa" w:w="160"/>
              <w:bottom w:type="dxa" w:w="90"/>
              <w:right w:type="dxa" w:w="140"/>
            </w:tcMar>
          </w:tcPr>
          <w:p>
            <w:r>
              <w:rPr>
                <w:rFonts w:ascii="Arial" w:cs="Arial" w:eastAsia="Arial" w:hAnsi="Arial"/>
                <w:color w:val="0A0A0A"/>
                <w:sz w:val="20"/>
                <w:szCs w:val="20"/>
              </w:rPr>
              <w:t xml:space="preserve">Smart Router post on Hugging Face. X thread goes out. '5 Lines of Python' demo posted. Developer community begins following.</w:t>
            </w:r>
          </w:p>
        </w:tc>
      </w:tr>
      <w:tr>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 3 (pre-GTC)</w:t>
            </w:r>
          </w:p>
        </w:tc>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04, 07, 08</w:t>
            </w:r>
          </w:p>
        </w:tc>
        <w:tc>
          <w:tcPr>
            <w:tcBorders>
              <w:top w:val="single" w:color="DDDDDD" w:sz="2"/>
              <w:left w:val="single" w:color="DDDDDD" w:sz="2"/>
              <w:bottom w:val="single" w:color="DDDDDD" w:sz="2"/>
              <w:right w:val="single" w:color="DDDDDD" w:sz="2"/>
            </w:tcBorders>
            <w:shd w:fill="F2F2F2" w:val="clear"/>
            <w:tcMar>
              <w:top w:type="dxa" w:w="90"/>
              <w:left w:type="dxa" w:w="160"/>
              <w:bottom w:type="dxa" w:w="90"/>
              <w:right w:type="dxa" w:w="140"/>
            </w:tcMar>
          </w:tcPr>
          <w:p>
            <w:r>
              <w:rPr>
                <w:rFonts w:ascii="Arial" w:cs="Arial" w:eastAsia="Arial" w:hAnsi="Arial"/>
                <w:color w:val="0A0A0A"/>
                <w:sz w:val="20"/>
                <w:szCs w:val="20"/>
              </w:rPr>
              <w:t xml:space="preserve">Robotics post on NVIDIA Blog. FHE arXiv preprint live. Encrypted drug scoring on bioRxiv. Academic citation established before GTC.</w:t>
            </w:r>
          </w:p>
        </w:tc>
      </w:tr>
      <w:tr>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 4 (GTC)</w:t>
            </w:r>
          </w:p>
        </w:tc>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03 thread update, 09</w:t>
            </w:r>
          </w:p>
        </w:tc>
        <w:tc>
          <w:tcPr>
            <w:tcBorders>
              <w:top w:val="single" w:color="DDDDDD" w:sz="2"/>
              <w:left w:val="single" w:color="DDDDDD" w:sz="2"/>
              <w:bottom w:val="single" w:color="DDDDDD" w:sz="2"/>
              <w:right w:val="single" w:color="DDDDDD" w:sz="2"/>
            </w:tcBorders>
            <w:shd w:fill="FFFFFF" w:val="clear"/>
            <w:tcMar>
              <w:top w:type="dxa" w:w="90"/>
              <w:left w:type="dxa" w:w="160"/>
              <w:bottom w:type="dxa" w:w="90"/>
              <w:right w:type="dxa" w:w="140"/>
            </w:tcMar>
          </w:tcPr>
          <w:p>
            <w:r>
              <w:rPr>
                <w:rFonts w:ascii="Arial" w:cs="Arial" w:eastAsia="Arial" w:hAnsi="Arial"/>
                <w:color w:val="0A0A0A"/>
                <w:sz w:val="20"/>
                <w:szCs w:val="20"/>
              </w:rPr>
              <w:t xml:space="preserve">Live at GTC. Post Demo A video on X from conference floor. Tag NVIDIA accounts. Real-time authority signal to 50K+ followers.</w:t>
            </w:r>
          </w:p>
        </w:tc>
      </w:tr>
      <w:tr>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Weeks 5–6</w:t>
            </w:r>
          </w:p>
        </w:tc>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10, 11, 24, 25</w:t>
            </w:r>
          </w:p>
        </w:tc>
        <w:tc>
          <w:tcPr>
            <w:tcBorders>
              <w:top w:val="single" w:color="DDDDDD" w:sz="2"/>
              <w:left w:val="single" w:color="DDDDDD" w:sz="2"/>
              <w:bottom w:val="single" w:color="DDDDDD" w:sz="2"/>
              <w:right w:val="single" w:color="DDDDDD" w:sz="2"/>
            </w:tcBorders>
            <w:shd w:fill="F2F2F2" w:val="clear"/>
            <w:tcMar>
              <w:top w:type="dxa" w:w="90"/>
              <w:left w:type="dxa" w:w="160"/>
              <w:bottom w:type="dxa" w:w="90"/>
              <w:right w:type="dxa" w:w="140"/>
            </w:tcMar>
          </w:tcPr>
          <w:p>
            <w:r>
              <w:rPr>
                <w:rFonts w:ascii="Arial" w:cs="Arial" w:eastAsia="Arial" w:hAnsi="Arial"/>
                <w:color w:val="0A0A0A"/>
                <w:sz w:val="20"/>
                <w:szCs w:val="20"/>
              </w:rPr>
              <w:t xml:space="preserve">Healthcare CISO content launches. LinkedIn articles targeting compliance audience. FHE + GDPR posts reach enterprise legal teams.</w:t>
            </w:r>
          </w:p>
        </w:tc>
      </w:tr>
      <w:tr>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Weeks 7–8</w:t>
            </w:r>
          </w:p>
        </w:tc>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13, 14, 15</w:t>
            </w:r>
          </w:p>
        </w:tc>
        <w:tc>
          <w:tcPr>
            <w:tcBorders>
              <w:top w:val="single" w:color="DDDDDD" w:sz="2"/>
              <w:left w:val="single" w:color="DDDDDD" w:sz="2"/>
              <w:bottom w:val="single" w:color="DDDDDD" w:sz="2"/>
              <w:right w:val="single" w:color="DDDDDD" w:sz="2"/>
            </w:tcBorders>
            <w:shd w:fill="FFFFFF" w:val="clear"/>
            <w:tcMar>
              <w:top w:type="dxa" w:w="90"/>
              <w:left w:type="dxa" w:w="160"/>
              <w:bottom w:type="dxa" w:w="90"/>
              <w:right w:type="dxa" w:w="140"/>
            </w:tcMar>
          </w:tcPr>
          <w:p>
            <w:r>
              <w:rPr>
                <w:rFonts w:ascii="Arial" w:cs="Arial" w:eastAsia="Arial" w:hAnsi="Arial"/>
                <w:color w:val="0A0A0A"/>
                <w:sz w:val="20"/>
                <w:szCs w:val="20"/>
              </w:rPr>
              <w:t xml:space="preserve">Biology stack deep dives. bioRxiv preprint submitted. Drug discovery tutorial on YouTube. First biopharma inbound arrives.</w:t>
            </w:r>
          </w:p>
        </w:tc>
      </w:tr>
      <w:tr>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Weeks 9–10</w:t>
            </w:r>
          </w:p>
        </w:tc>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20, 21, 22</w:t>
            </w:r>
          </w:p>
        </w:tc>
        <w:tc>
          <w:tcPr>
            <w:tcBorders>
              <w:top w:val="single" w:color="DDDDDD" w:sz="2"/>
              <w:left w:val="single" w:color="DDDDDD" w:sz="2"/>
              <w:bottom w:val="single" w:color="DDDDDD" w:sz="2"/>
              <w:right w:val="single" w:color="DDDDDD" w:sz="2"/>
            </w:tcBorders>
            <w:shd w:fill="F2F2F2" w:val="clear"/>
            <w:tcMar>
              <w:top w:type="dxa" w:w="90"/>
              <w:left w:type="dxa" w:w="160"/>
              <w:bottom w:type="dxa" w:w="90"/>
              <w:right w:type="dxa" w:w="140"/>
            </w:tcMar>
          </w:tcPr>
          <w:p>
            <w:r>
              <w:rPr>
                <w:rFonts w:ascii="Arial" w:cs="Arial" w:eastAsia="Arial" w:hAnsi="Arial"/>
                <w:color w:val="0A0A0A"/>
                <w:sz w:val="20"/>
                <w:szCs w:val="20"/>
              </w:rPr>
              <w:t xml:space="preserve">Developer community posts. Reddit r/ML thread. Dev.to tutorials. GitHub stars compound. Substack issues 1–3 published.</w:t>
            </w:r>
          </w:p>
        </w:tc>
      </w:tr>
      <w:tr>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Weeks 11–12</w:t>
            </w:r>
          </w:p>
        </w:tc>
        <w:tc>
          <w:tcPr>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16, 17, 26, 27</w:t>
            </w:r>
          </w:p>
        </w:tc>
        <w:tc>
          <w:tcPr>
            <w:tcBorders>
              <w:top w:val="single" w:color="DDDDDD" w:sz="2"/>
              <w:left w:val="single" w:color="DDDDDD" w:sz="2"/>
              <w:bottom w:val="single" w:color="DDDDDD" w:sz="2"/>
              <w:right w:val="single" w:color="DDDDDD" w:sz="2"/>
            </w:tcBorders>
            <w:shd w:fill="FFFFFF" w:val="clear"/>
            <w:tcMar>
              <w:top w:type="dxa" w:w="90"/>
              <w:left w:type="dxa" w:w="160"/>
              <w:bottom w:type="dxa" w:w="90"/>
              <w:right w:type="dxa" w:w="140"/>
            </w:tcMar>
          </w:tcPr>
          <w:p>
            <w:r>
              <w:rPr>
                <w:rFonts w:ascii="Arial" w:cs="Arial" w:eastAsia="Arial" w:hAnsi="Arial"/>
                <w:color w:val="0A0A0A"/>
                <w:sz w:val="20"/>
                <w:szCs w:val="20"/>
              </w:rPr>
              <w:t xml:space="preserve">Remaining FHE and enterprise content. Biopharma LinkedIn article. CISO guide. Pharma publication pitches sent.</w:t>
            </w:r>
          </w:p>
        </w:tc>
      </w:tr>
      <w:tr>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A0A0A"/>
                <w:sz w:val="20"/>
                <w:szCs w:val="20"/>
              </w:rPr>
              <w:t xml:space="preserve">Week 13</w:t>
            </w:r>
          </w:p>
        </w:tc>
        <w:tc>
          <w:tcPr>
            <w:tcBorders>
              <w:top w:val="single" w:color="DDDDDD" w:sz="2"/>
              <w:left w:val="single" w:color="DDDDDD" w:sz="2"/>
              <w:bottom w:val="single" w:color="DDDDDD" w:sz="2"/>
              <w:right w:val="single" w:color="DDDDDD" w:sz="2"/>
            </w:tcBorders>
            <w:shd w:fill="F2F2F2" w:val="clear"/>
            <w:tcMar>
              <w:top w:type="dxa" w:w="90"/>
              <w:left w:type="dxa" w:w="140"/>
              <w:bottom w:type="dxa" w:w="90"/>
              <w:right w:type="dxa" w:w="140"/>
            </w:tcMar>
          </w:tcPr>
          <w:p>
            <w:pPr>
              <w:jc w:val="center"/>
            </w:pPr>
            <w:r>
              <w:rPr>
                <w:rFonts w:ascii="Arial" w:cs="Arial" w:eastAsia="Arial" w:hAnsi="Arial"/>
                <w:b/>
                <w:bCs/>
                <w:color w:val="004D52"/>
                <w:sz w:val="19"/>
                <w:szCs w:val="19"/>
              </w:rPr>
              <w:t xml:space="preserve">28, 29, 30</w:t>
            </w:r>
          </w:p>
        </w:tc>
        <w:tc>
          <w:tcPr>
            <w:tcBorders>
              <w:top w:val="single" w:color="DDDDDD" w:sz="2"/>
              <w:left w:val="single" w:color="DDDDDD" w:sz="2"/>
              <w:bottom w:val="single" w:color="DDDDDD" w:sz="2"/>
              <w:right w:val="single" w:color="DDDDDD" w:sz="2"/>
            </w:tcBorders>
            <w:shd w:fill="F2F2F2" w:val="clear"/>
            <w:tcMar>
              <w:top w:type="dxa" w:w="90"/>
              <w:left w:type="dxa" w:w="160"/>
              <w:bottom w:type="dxa" w:w="90"/>
              <w:right w:type="dxa" w:w="140"/>
            </w:tcMar>
          </w:tcPr>
          <w:p>
            <w:r>
              <w:rPr>
                <w:rFonts w:ascii="Arial" w:cs="Arial" w:eastAsia="Arial" w:hAnsi="Arial"/>
                <w:color w:val="0A0A0A"/>
                <w:sz w:val="20"/>
                <w:szCs w:val="20"/>
              </w:rPr>
              <w:t xml:space="preserve">Thought leadership pieces launch. Valuation comparison post. Solo founder story. Press pitch to TechCrunch/Wired/Miami Herald.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80"/>
              <w:left w:type="dxa" w:w="360"/>
              <w:bottom w:type="dxa" w:w="280"/>
              <w:right w:type="dxa" w:w="360"/>
            </w:tcMar>
          </w:tcPr>
          <w:p>
            <w:pPr>
              <w:spacing w:before="0" w:after="32"/>
            </w:pPr>
            <w:r>
              <w:rPr>
                <w:rFonts w:ascii="Arial" w:cs="Arial" w:eastAsia="Arial" w:hAnsi="Arial"/>
                <w:b/>
                <w:bCs/>
                <w:caps/>
                <w:color w:val="777777"/>
                <w:sz w:val="17"/>
                <w:szCs w:val="17"/>
              </w:rPr>
              <w:t xml:space="preserve">THE OUTCOME</w:t>
            </w:r>
          </w:p>
          <w:p>
            <w:pPr>
              <w:spacing w:before="0" w:after="28"/>
            </w:pPr>
            <w:r>
              <w:rPr>
                <w:rFonts w:ascii="Arial" w:cs="Arial" w:eastAsia="Arial" w:hAnsi="Arial"/>
                <w:b/>
                <w:bCs/>
                <w:color w:val="FFFFFF"/>
                <w:sz w:val="30"/>
                <w:szCs w:val="30"/>
              </w:rPr>
              <w:t xml:space="preserve">By week 13, AMAIMA is the first result for every query that matters.</w:t>
            </w:r>
          </w:p>
          <w:p>
            <w:pPr>
              <w:spacing w:before="0" w:after="20"/>
            </w:pPr>
            <w:r>
              <w:rPr>
                <w:rFonts w:ascii="Arial" w:cs="Arial" w:eastAsia="Arial" w:hAnsi="Arial"/>
                <w:color w:val="BBBBBB"/>
                <w:sz w:val="21"/>
                <w:szCs w:val="21"/>
              </w:rPr>
              <w:t xml:space="preserve">Every biopharma researcher searching for AlphaFold2 FHE tools finds it. Every enterprise CISO searching for HIPAA-by-architecture AI finds it. Every robotics engineer searching for GR00T orchestration finds it. Every DARPA contractor searching for encrypted autonomous systems finds it. Every VC searching for the reference implementation of NVIDIA's physical AI stack finds it.</w:t>
            </w:r>
          </w:p>
          <w:p>
            <w:pPr>
              <w:spacing w:before="0" w:after="0"/>
            </w:pPr>
            <w:r>
              <w:rPr>
                <w:rFonts w:ascii="Arial" w:cs="Arial" w:eastAsia="Arial" w:hAnsi="Arial"/>
                <w:b/>
                <w:bCs/>
                <w:color w:val="FFFFFF"/>
                <w:sz w:val="24"/>
                <w:szCs w:val="24"/>
              </w:rPr>
              <w:t xml:space="preserve">They arrive already convinced. The conversation starts from proof. That is gravity.</w:t>
            </w:r>
          </w:p>
        </w:tc>
      </w:tr>
    </w:tbl>
    <w:p>
      <w:pPr>
        <w:spacing w:before="80" w:after="0"/>
      </w:pPr>
      <w:r>
        <w:t xml:space="preserve"/>
      </w:r>
    </w:p>
    <w:p>
      <w:pPr>
        <w:pBdr>
          <w:bottom w:val="single" w:color="0A0A0A" w:sz="16" w:space="1"/>
        </w:pBdr>
        <w:spacing w:before="160" w:after="160"/>
      </w:pPr>
      <w:r>
        <w:t xml:space="preserve"/>
      </w:r>
    </w:p>
    <w:p>
      <w:pPr>
        <w:spacing w:before="40" w:after="12"/>
      </w:pPr>
      <w:r>
        <w:rPr>
          <w:rFonts w:ascii="Arial" w:cs="Arial" w:eastAsia="Arial" w:hAnsi="Arial"/>
          <w:b/>
          <w:bCs/>
          <w:color w:val="0A0A0A"/>
          <w:sz w:val="44"/>
          <w:szCs w:val="44"/>
        </w:rPr>
        <w:t xml:space="preserve">AMAIMA</w:t>
      </w:r>
    </w:p>
    <w:p>
      <w:pPr>
        <w:spacing w:before="0" w:after="8"/>
      </w:pPr>
      <w:r>
        <w:rPr>
          <w:rFonts w:ascii="Arial" w:cs="Arial" w:eastAsia="Arial" w:hAnsi="Arial"/>
          <w:i/>
          <w:iCs/>
          <w:color w:val="777777"/>
          <w:sz w:val="22"/>
          <w:szCs w:val="22"/>
        </w:rPr>
        <w:t xml:space="preserve">30 content pieces. 30 search terms. One platform.</w:t>
      </w:r>
    </w:p>
    <w:p>
      <w:pPr>
        <w:spacing w:before="0" w:after="0"/>
      </w:pPr>
      <w:r>
        <w:rPr>
          <w:rFonts w:ascii="Arial" w:cs="Arial" w:eastAsia="Arial" w:hAnsi="Arial"/>
          <w:color w:val="777777"/>
          <w:sz w:val="19"/>
          <w:szCs w:val="19"/>
        </w:rPr>
        <w:t xml:space="preserve">amaima.live  ·  amaima.live/fhe  ·  amaima.live/agent-builder  ·  github.com/CreoDAMO/AMAIMA</w:t>
      </w:r>
    </w:p>
    <w:sectPr>
      <w:footerReference w:type="default" r:id="rId6"/>
      <w:pgSz w:w="12240" w:h="15840"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7"/>
        <w:szCs w:val="17"/>
      </w:rPr>
      <w:t xml:space="preserve">AMAIMA — The Gravitational Field  |  amaima.live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rPr>
          <w:rFonts w:ascii="Arial" w:cs="Arial" w:eastAsia="Arial" w:hAnsi="Arial"/>
        </w:rPr>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42"/>
      <w:szCs w:val="42"/>
    </w:rPr>
  </w:style>
  <w:style w:type="paragraph" w:styleId="Heading2">
    <w:name w:val="Heading 2"/>
    <w:basedOn w:val="Normal"/>
    <w:next w:val="Normal"/>
    <w:qFormat/>
    <w:pPr>
      <w:spacing w:before="320" w:after="100"/>
      <w:outlineLvl w:val="1"/>
    </w:pPr>
    <w:rPr>
      <w:rFonts w:ascii="Arial" w:cs="Arial" w:eastAsia="Arial" w:hAnsi="Arial"/>
      <w:b/>
      <w:bCs/>
      <w:color w:val="0A0A0A"/>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A0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2026-02-21T16:19:33.823Z</dcterms:created>
  <dcterms:modified xsi:type="dcterms:W3CDTF">2026-02-21T16:19:33.824Z</dcterms:modified>
</cp:coreProperties>
</file>

<file path=docProps/custom.xml><?xml version="1.0" encoding="utf-8"?>
<Properties xmlns="http://schemas.openxmlformats.org/officeDocument/2006/custom-properties" xmlns:vt="http://schemas.openxmlformats.org/officeDocument/2006/docPropsVTypes"/>
</file>