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0" w:after="0"/>
      </w:pPr>
      <w:r>
        <w:rPr>
          <w:rFonts w:ascii="Arial" w:cs="Arial" w:eastAsia="Arial" w:hAnsi="Arial"/>
          <w:b/>
          <w:bCs/>
          <w:color w:val="0A0A0A"/>
          <w:sz w:val="160"/>
          <w:szCs w:val="160"/>
        </w:rPr>
        <w:t xml:space="preserve">GRAVITY</w:t>
      </w:r>
    </w:p>
    <w:p>
      <w:pPr>
        <w:spacing w:before="120" w:after="0"/>
      </w:pPr>
      <w:r>
        <w:t xml:space="preserve"/>
      </w:r>
    </w:p>
    <w:p>
      <w:pPr>
        <w:spacing w:before="0" w:after="0"/>
      </w:pPr>
      <w:r>
        <w:rPr>
          <w:rFonts w:ascii="Arial" w:cs="Arial" w:eastAsia="Arial" w:hAnsi="Arial"/>
          <w:b/>
          <w:bCs/>
          <w:color w:val="0A0A0A"/>
          <w:sz w:val="160"/>
          <w:szCs w:val="160"/>
        </w:rPr>
        <w:t xml:space="preserve">OVER</w:t>
      </w:r>
    </w:p>
    <w:p>
      <w:pPr>
        <w:spacing w:before="0" w:after="0"/>
      </w:pPr>
      <w:r>
        <w:rPr>
          <w:rFonts w:ascii="Arial" w:cs="Arial" w:eastAsia="Arial" w:hAnsi="Arial"/>
          <w:b/>
          <w:bCs/>
          <w:color w:val="0A0A0A"/>
          <w:sz w:val="160"/>
          <w:szCs w:val="160"/>
        </w:rPr>
        <w:t xml:space="preserve">OUTREACH.</w:t>
      </w:r>
    </w:p>
    <w:p>
      <w:pPr>
        <w:spacing w:before="80" w:after="0"/>
      </w:pPr>
      <w:r>
        <w:t xml:space="preserve"/>
      </w:r>
    </w:p>
    <w:p>
      <w:pPr>
        <w:pBdr>
          <w:bottom w:val="single" w:color="0A0A0A" w:sz="20" w:space="1"/>
        </w:pBdr>
        <w:spacing w:before="180" w:after="180"/>
      </w:pPr>
      <w:r>
        <w:t xml:space="preserve"/>
      </w:r>
    </w:p>
    <w:p>
      <w:pPr>
        <w:spacing w:before="40" w:after="0"/>
      </w:pPr>
      <w:r>
        <w:t xml:space="preserve"/>
      </w:r>
    </w:p>
    <w:p>
      <w:pPr>
        <w:spacing w:before="100" w:after="100"/>
      </w:pPr>
      <w:r>
        <w:rPr>
          <w:rFonts w:ascii="Arial" w:cs="Arial" w:eastAsia="Arial" w:hAnsi="Arial"/>
          <w:i/>
          <w:iCs/>
          <w:color w:val="0A0A0A"/>
          <w:sz w:val="27"/>
          <w:szCs w:val="27"/>
        </w:rPr>
        <w:t xml:space="preserve">How a platform that is already built stops chasing the market — and makes the market come to it.</w:t>
      </w:r>
    </w:p>
    <w:p>
      <w:pPr>
        <w:spacing w:before="40" w:after="0"/>
      </w:pPr>
      <w:r>
        <w:t xml:space="preserve"/>
      </w:r>
    </w:p>
    <w:p>
      <w:pPr>
        <w:pBdr>
          <w:bottom w:val="single" w:color="888888" w:sz="4" w:space="1"/>
        </w:pBdr>
        <w:spacing w:before="180" w:after="180"/>
      </w:pPr>
      <w:r>
        <w:t xml:space="preserve"/>
      </w:r>
    </w:p>
    <w:p>
      <w:pPr>
        <w:spacing w:before="40" w:after="0"/>
      </w:pPr>
      <w:r>
        <w:t xml:space="preserve"/>
      </w:r>
    </w:p>
    <w:p>
      <w:r>
        <w:rPr>
          <w:rFonts w:ascii="Arial" w:cs="Arial" w:eastAsia="Arial" w:hAnsi="Arial"/>
          <w:color w:val="888888"/>
          <w:sz w:val="20"/>
          <w:szCs w:val="20"/>
        </w:rPr>
        <w:t xml:space="preserve">AMAIMA  ·  amaima.live  ·  amaima.live/fhe  ·  February 2026</w:t>
      </w:r>
    </w:p>
    <w:p>
      <w:pPr>
        <w:spacing w:before="7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200"/>
              <w:left w:type="dxa" w:w="320"/>
              <w:bottom w:type="dxa" w:w="200"/>
              <w:right w:type="dxa" w:w="320"/>
            </w:tcMar>
          </w:tcPr>
          <w:p>
            <w:pPr>
              <w:spacing w:before="0" w:after="40"/>
            </w:pPr>
            <w:r>
              <w:rPr>
                <w:rFonts w:ascii="Arial" w:cs="Arial" w:eastAsia="Arial" w:hAnsi="Arial"/>
                <w:b/>
                <w:bCs/>
                <w:caps/>
                <w:color w:val="888888"/>
                <w:sz w:val="17"/>
                <w:szCs w:val="17"/>
              </w:rPr>
              <w:t xml:space="preserve">THE SHIFT</w:t>
            </w:r>
          </w:p>
          <w:p>
            <w:pPr>
              <w:spacing w:before="0" w:after="40"/>
            </w:pPr>
            <w:r>
              <w:rPr>
                <w:rFonts w:ascii="Arial" w:cs="Arial" w:eastAsia="Arial" w:hAnsi="Arial"/>
                <w:b/>
                <w:bCs/>
                <w:color w:val="FFFFFF"/>
                <w:sz w:val="34"/>
                <w:szCs w:val="34"/>
              </w:rPr>
              <w:t xml:space="preserve">Every startup chases. The ones that win create gravity.</w:t>
            </w:r>
          </w:p>
          <w:p>
            <w:pPr>
              <w:spacing w:before="0" w:after="36"/>
            </w:pPr>
            <w:r>
              <w:rPr>
                <w:rFonts w:ascii="Arial" w:cs="Arial" w:eastAsia="Arial" w:hAnsi="Arial"/>
                <w:color w:val="BBBBBB"/>
                <w:sz w:val="22"/>
                <w:szCs w:val="22"/>
              </w:rPr>
              <w:t xml:space="preserve">Chasing means cold emails, pitch decks, and asking people to believe in something they cannot verify. Gravity means they find you, already convinced. The conversation begins from proof — not persuasion.</w:t>
            </w:r>
          </w:p>
          <w:p>
            <w:pPr>
              <w:spacing w:before="0" w:after="0"/>
            </w:pPr>
            <w:r>
              <w:rPr>
                <w:rFonts w:ascii="Arial" w:cs="Arial" w:eastAsia="Arial" w:hAnsi="Arial"/>
                <w:color w:val="BBBBBB"/>
                <w:sz w:val="22"/>
                <w:szCs w:val="22"/>
              </w:rPr>
              <w:t xml:space="preserve">AMAIMA is not a deck. It is a live system at amaima.live. The gravity strategy is built on one fact: the platform exists, runs, and does things no other platform on earth currently does. The strategy is simply to make that fact discoverable — in the right places, in the right language, at the right moment.</w:t>
            </w:r>
          </w:p>
        </w:tc>
      </w:tr>
    </w:tbl>
    <w:p>
      <w:pPr>
        <w:spacing w:before="80" w:after="0"/>
      </w:pPr>
      <w:r>
        <w:t xml:space="preserve"/>
      </w:r>
    </w:p>
    <w:p>
      <w:pPr>
        <w:pStyle w:val="Heading1"/>
        <w:spacing w:before="520" w:after="160"/>
      </w:pPr>
      <w:r>
        <w:rPr>
          <w:rFonts w:ascii="Arial" w:cs="Arial" w:eastAsia="Arial" w:hAnsi="Arial"/>
          <w:b/>
          <w:bCs/>
          <w:color w:val="0A0A0A"/>
          <w:sz w:val="44"/>
          <w:szCs w:val="44"/>
        </w:rPr>
        <w:t xml:space="preserve">Why the Standard Playbook Does Not Apply</w:t>
      </w:r>
    </w:p>
    <w:p>
      <w:pPr>
        <w:spacing w:before="100" w:after="100"/>
      </w:pPr>
      <w:r>
        <w:rPr>
          <w:rFonts w:ascii="Arial" w:cs="Arial" w:eastAsia="Arial" w:hAnsi="Arial"/>
          <w:i/>
          <w:iCs/>
          <w:color w:val="0A0A0A"/>
          <w:sz w:val="27"/>
          <w:szCs w:val="27"/>
        </w:rPr>
        <w:t xml:space="preserve">Most inbound guides are written for companies trying to create the perception of traction. AMAIMA has actual traction. That changes everything.</w:t>
      </w:r>
    </w:p>
    <w:p>
      <w:pPr>
        <w:spacing w:before="40" w:after="0"/>
      </w:pPr>
      <w:r>
        <w:t xml:space="preserve"/>
      </w:r>
    </w:p>
    <w:p>
      <w:pPr>
        <w:spacing w:before="80" w:after="80"/>
      </w:pPr>
      <w:r>
        <w:rPr>
          <w:rFonts w:ascii="Arial" w:cs="Arial" w:eastAsia="Arial" w:hAnsi="Arial"/>
          <w:color w:val="0A0A0A"/>
          <w:sz w:val="23"/>
          <w:szCs w:val="23"/>
        </w:rPr>
        <w:t xml:space="preserve">The standard playbook says: build credibility through content, create scarcity with waitlists, manufacture FOMO with announcements. These are tools for companies that have not yet built what they claim. They ask people to believe something they cannot verify.</w:t>
      </w:r>
    </w:p>
    <w:p>
      <w:pPr>
        <w:spacing w:before="40" w:after="0"/>
      </w:pPr>
      <w:r>
        <w:t xml:space="preserve"/>
      </w:r>
    </w:p>
    <w:p>
      <w:pPr>
        <w:spacing w:before="80" w:after="80"/>
      </w:pPr>
      <w:r>
        <w:rPr>
          <w:rFonts w:ascii="Arial" w:cs="Arial" w:eastAsia="Arial" w:hAnsi="Arial"/>
          <w:color w:val="0A0A0A"/>
          <w:sz w:val="23"/>
          <w:szCs w:val="23"/>
        </w:rPr>
        <w:t xml:space="preserve">AMAIMA's situation is categorically different. The platform is live. The URL is public. The FHE dashboard is at amaima.live/fhe. The agent builder is at amaima.live/agent-builder. Anyone — a DARPA program manager, a pharma CISO, a SoftBank analyst, Jensen Huang's chief of staff — can open a browser right now and see 26 NVIDIA models running with encrypted compute.</w:t>
      </w:r>
    </w:p>
    <w:p>
      <w:pPr>
        <w:spacing w:before="40" w:after="0"/>
      </w:pPr>
      <w:r>
        <w:t xml:space="preserve"/>
      </w:r>
    </w:p>
    <w:p>
      <w:pPr>
        <w:pBdr>
          <w:left w:val="single" w:color="1B5E20" w:sz="20" w:space="16"/>
        </w:pBdr>
        <w:spacing w:before="160" w:after="160"/>
        <w:ind w:left="480"/>
      </w:pPr>
      <w:r>
        <w:rPr>
          <w:rFonts w:ascii="Arial" w:cs="Arial" w:eastAsia="Arial" w:hAnsi="Arial"/>
          <w:b/>
          <w:bCs/>
          <w:i/>
          <w:iCs/>
          <w:color w:val="1B5E20"/>
          <w:sz w:val="28"/>
          <w:szCs w:val="28"/>
        </w:rPr>
        <w:t xml:space="preserve">The scarcity is not manufactured. The proof is not hypothetical. The gravity comes from letting people discover what already exists.</w:t>
      </w:r>
    </w:p>
    <w:p>
      <w:pPr>
        <w:spacing w:before="40" w:after="0"/>
      </w:pPr>
      <w:r>
        <w:t xml:space="preserve"/>
      </w:r>
    </w:p>
    <w:p>
      <w:pPr>
        <w:spacing w:before="80" w:after="80"/>
      </w:pPr>
      <w:r>
        <w:rPr>
          <w:rFonts w:ascii="Arial" w:cs="Arial" w:eastAsia="Arial" w:hAnsi="Arial"/>
          <w:color w:val="0A0A0A"/>
          <w:sz w:val="23"/>
          <w:szCs w:val="23"/>
        </w:rPr>
        <w:t xml:space="preserve">This changes the inbound strategy from 'how do we convince people' to 'how do we ensure the right people find what is already there.' Those are fundamentally different problems with fundamentally different solutions.</w:t>
      </w:r>
    </w:p>
    <w:p>
      <w:pPr>
        <w:spacing w:before="40" w:after="0"/>
      </w:pPr>
      <w:r>
        <w:t xml:space="preserve"/>
      </w:r>
    </w:p>
    <w:p>
      <w:pPr>
        <w:pBdr>
          <w:bottom w:val="single" w:color="888888" w:sz="4" w:space="1"/>
        </w:pBdr>
        <w:spacing w:before="180" w:after="180"/>
      </w:pPr>
      <w:r>
        <w:t xml:space="preserve"/>
      </w:r>
    </w:p>
    <w:p>
      <w:pPr>
        <w:pStyle w:val="Heading1"/>
        <w:spacing w:before="520" w:after="160"/>
      </w:pPr>
      <w:r>
        <w:rPr>
          <w:rFonts w:ascii="Arial" w:cs="Arial" w:eastAsia="Arial" w:hAnsi="Arial"/>
          <w:b/>
          <w:bCs/>
          <w:color w:val="0A0A0A"/>
          <w:sz w:val="44"/>
          <w:szCs w:val="44"/>
        </w:rPr>
        <w:t xml:space="preserve">The Three Forces That Create Gravity</w:t>
      </w:r>
    </w:p>
    <w:p>
      <w:pPr>
        <w:spacing w:before="40" w:after="60"/>
      </w:pPr>
      <w:r>
        <w:rPr>
          <w:rFonts w:ascii="Arial" w:cs="Arial" w:eastAsia="Arial" w:hAnsi="Arial"/>
          <w:b/>
          <w:bCs/>
          <w:color w:val="888888"/>
          <w:sz w:val="17"/>
          <w:szCs w:val="17"/>
        </w:rPr>
        <w:t xml:space="preserve">THE FRAMEWORK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4D52"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01</w:t>
            </w:r>
          </w:p>
        </w:tc>
        <w:tc>
          <w:tcPr>
            <w:tcW w:type="dxa" w:w="8400"/>
            <w:tcBorders>
              <w:top w:val="none" w:color="FFFFFF" w:sz="0"/>
              <w:left w:val="none" w:color="FFFFFF" w:sz="0"/>
              <w:bottom w:val="none" w:color="FFFFFF" w:sz="0"/>
              <w:right w:val="none" w:color="FFFFFF" w:sz="0"/>
            </w:tcBorders>
            <w:tcMar>
              <w:top w:type="dxa" w:w="140"/>
              <w:left w:type="dxa" w:w="280"/>
              <w:bottom w:type="dxa" w:w="140"/>
              <w:right w:type="dxa" w:w="0"/>
            </w:tcMar>
          </w:tcPr>
          <w:p>
            <w:pPr>
              <w:spacing w:before="0" w:after="16"/>
            </w:pPr>
            <w:r>
              <w:rPr>
                <w:rFonts w:ascii="Arial" w:cs="Arial" w:eastAsia="Arial" w:hAnsi="Arial"/>
                <w:b/>
                <w:bCs/>
                <w:color w:val="0A0A0A"/>
                <w:sz w:val="26"/>
                <w:szCs w:val="26"/>
              </w:rPr>
              <w:t xml:space="preserve">Search Gravity — Own the Terms No One Else Can Rank For</w:t>
            </w:r>
          </w:p>
          <w:p>
            <w:pPr>
              <w:spacing w:before="0" w:after="0"/>
            </w:pPr>
            <w:r>
              <w:rPr>
                <w:rFonts w:ascii="Arial" w:cs="Arial" w:eastAsia="Arial" w:hAnsi="Arial"/>
                <w:color w:val="888888"/>
                <w:sz w:val="21"/>
                <w:szCs w:val="21"/>
              </w:rPr>
              <w:t xml:space="preserve">When someone searches for what AMAIMA does, they find AMAIMA. Not a press release. The actual platform.</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BF360C"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02</w:t>
            </w:r>
          </w:p>
        </w:tc>
        <w:tc>
          <w:tcPr>
            <w:tcW w:type="dxa" w:w="8400"/>
            <w:tcBorders>
              <w:top w:val="none" w:color="FFFFFF" w:sz="0"/>
              <w:left w:val="none" w:color="FFFFFF" w:sz="0"/>
              <w:bottom w:val="none" w:color="FFFFFF" w:sz="0"/>
              <w:right w:val="none" w:color="FFFFFF" w:sz="0"/>
            </w:tcBorders>
            <w:tcMar>
              <w:top w:type="dxa" w:w="140"/>
              <w:left w:type="dxa" w:w="280"/>
              <w:bottom w:type="dxa" w:w="140"/>
              <w:right w:type="dxa" w:w="0"/>
            </w:tcMar>
          </w:tcPr>
          <w:p>
            <w:pPr>
              <w:spacing w:before="0" w:after="16"/>
            </w:pPr>
            <w:r>
              <w:rPr>
                <w:rFonts w:ascii="Arial" w:cs="Arial" w:eastAsia="Arial" w:hAnsi="Arial"/>
                <w:b/>
                <w:bCs/>
                <w:color w:val="0A0A0A"/>
                <w:sz w:val="26"/>
                <w:szCs w:val="26"/>
              </w:rPr>
              <w:t xml:space="preserve">Signal Gravity — Publish Where the Right People Already Read</w:t>
            </w:r>
          </w:p>
          <w:p>
            <w:pPr>
              <w:spacing w:before="0" w:after="0"/>
            </w:pPr>
            <w:r>
              <w:rPr>
                <w:rFonts w:ascii="Arial" w:cs="Arial" w:eastAsia="Arial" w:hAnsi="Arial"/>
                <w:color w:val="888888"/>
                <w:sz w:val="21"/>
                <w:szCs w:val="21"/>
              </w:rPr>
              <w:t xml:space="preserve">The NVIDIA Developer Blog. Hugging Face. bioRxiv. arXiv. One post in the right place outperforms a thousand cold emails.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A0050" w:val="clear"/>
            <w:tcMar>
              <w:top w:type="dxa" w:w="140"/>
              <w:left w:type="dxa" w:w="100"/>
              <w:bottom w:type="dxa" w:w="140"/>
              <w:right w:type="dxa" w:w="100"/>
            </w:tcMar>
          </w:tcPr>
          <w:p>
            <w:pPr>
              <w:jc w:val="center"/>
            </w:pPr>
            <w:r>
              <w:rPr>
                <w:rFonts w:ascii="Arial" w:cs="Arial" w:eastAsia="Arial" w:hAnsi="Arial"/>
                <w:b/>
                <w:bCs/>
                <w:color w:val="FFFFFF"/>
                <w:sz w:val="52"/>
                <w:szCs w:val="52"/>
              </w:rPr>
              <w:t xml:space="preserve">03</w:t>
            </w:r>
          </w:p>
        </w:tc>
        <w:tc>
          <w:tcPr>
            <w:tcW w:type="dxa" w:w="8400"/>
            <w:tcBorders>
              <w:top w:val="none" w:color="FFFFFF" w:sz="0"/>
              <w:left w:val="none" w:color="FFFFFF" w:sz="0"/>
              <w:bottom w:val="none" w:color="FFFFFF" w:sz="0"/>
              <w:right w:val="none" w:color="FFFFFF" w:sz="0"/>
            </w:tcBorders>
            <w:tcMar>
              <w:top w:type="dxa" w:w="140"/>
              <w:left w:type="dxa" w:w="280"/>
              <w:bottom w:type="dxa" w:w="140"/>
              <w:right w:type="dxa" w:w="0"/>
            </w:tcMar>
          </w:tcPr>
          <w:p>
            <w:pPr>
              <w:spacing w:before="0" w:after="16"/>
            </w:pPr>
            <w:r>
              <w:rPr>
                <w:rFonts w:ascii="Arial" w:cs="Arial" w:eastAsia="Arial" w:hAnsi="Arial"/>
                <w:b/>
                <w:bCs/>
                <w:color w:val="0A0A0A"/>
                <w:sz w:val="26"/>
                <w:szCs w:val="26"/>
              </w:rPr>
              <w:t xml:space="preserve">Demo Gravity — Let the Platform Speak for Itself</w:t>
            </w:r>
          </w:p>
          <w:p>
            <w:pPr>
              <w:spacing w:before="0" w:after="0"/>
            </w:pPr>
            <w:r>
              <w:rPr>
                <w:rFonts w:ascii="Arial" w:cs="Arial" w:eastAsia="Arial" w:hAnsi="Arial"/>
                <w:color w:val="888888"/>
                <w:sz w:val="21"/>
                <w:szCs w:val="21"/>
              </w:rPr>
              <w:t xml:space="preserve">A 90-second video of encrypted drug scoring convinces faster than any document in this folder, including this one.</w:t>
            </w:r>
          </w:p>
        </w:tc>
      </w:tr>
    </w:tbl>
    <w:p>
      <w:pPr>
        <w:spacing w:before="80" w:after="0"/>
      </w:pPr>
      <w:r>
        <w:t xml:space="preserve"/>
      </w:r>
    </w:p>
    <w:p>
      <w:pPr>
        <w:pBdr>
          <w:bottom w:val="single" w:color="004D52" w:sz="14" w:space="1"/>
        </w:pBdr>
        <w:spacing w:before="180" w:after="180"/>
      </w:pPr>
      <w:r>
        <w:t xml:space="preserve"/>
      </w:r>
    </w:p>
    <w:p>
      <w:pPr>
        <w:pStyle w:val="Heading2"/>
        <w:spacing w:before="360" w:after="120"/>
      </w:pPr>
      <w:r>
        <w:rPr>
          <w:rFonts w:ascii="Arial" w:cs="Arial" w:eastAsia="Arial" w:hAnsi="Arial"/>
          <w:b/>
          <w:bCs/>
          <w:color w:val="0A0A0A"/>
          <w:sz w:val="30"/>
          <w:szCs w:val="30"/>
        </w:rPr>
        <w:t xml:space="preserve">Force 01: Search Gravity</w:t>
      </w:r>
    </w:p>
    <w:p>
      <w:pPr>
        <w:spacing w:before="40" w:after="60"/>
      </w:pPr>
      <w:r>
        <w:rPr>
          <w:rFonts w:ascii="Arial" w:cs="Arial" w:eastAsia="Arial" w:hAnsi="Arial"/>
          <w:b/>
          <w:bCs/>
          <w:color w:val="888888"/>
          <w:sz w:val="17"/>
          <w:szCs w:val="17"/>
        </w:rPr>
        <w:t xml:space="preserve">OWN THE QUERIES THAT MATTER BEFORE ANYONE ELSE CAN</w:t>
      </w:r>
    </w:p>
    <w:p>
      <w:pPr>
        <w:spacing w:before="40" w:after="0"/>
      </w:pPr>
      <w:r>
        <w:t xml:space="preserve"/>
      </w:r>
    </w:p>
    <w:p>
      <w:pPr>
        <w:spacing w:before="80" w:after="80"/>
      </w:pPr>
      <w:r>
        <w:rPr>
          <w:rFonts w:ascii="Arial" w:cs="Arial" w:eastAsia="Arial" w:hAnsi="Arial"/>
          <w:color w:val="0A0A0A"/>
          <w:sz w:val="23"/>
          <w:szCs w:val="23"/>
        </w:rPr>
        <w:t xml:space="preserve">The following search queries return no authoritative results today. They are uncontested territory. Every one represents a high-intent user — someone actively searching for what AMAIMA already is.</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SEARCH QUERY</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WHO IS SEARCHING</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CONTENT TO OWN IT</w:t>
            </w:r>
          </w:p>
        </w:tc>
      </w:tr>
      <w:tr>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NVIDIA NIM multimodal platform</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888888"/>
                <w:sz w:val="18"/>
                <w:szCs w:val="18"/>
              </w:rPr>
              <w:t xml:space="preserve">Enterprise AI teams, NVIDIA partners</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0A0A0A"/>
                <w:sz w:val="19"/>
                <w:szCs w:val="19"/>
              </w:rPr>
              <w:t xml:space="preserve">'Building Across All NVIDIA NIM Domains' — the architecture post</w:t>
            </w:r>
          </w:p>
        </w:tc>
      </w:tr>
      <w:tr>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encrypted drug discovery API</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888888"/>
                <w:sz w:val="18"/>
                <w:szCs w:val="18"/>
              </w:rPr>
              <w:t xml:space="preserve">Biopharma researchers, pharma CTOs</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0A0A0A"/>
                <w:sz w:val="19"/>
                <w:szCs w:val="19"/>
              </w:rPr>
              <w:t xml:space="preserve">'FHE Drug Scoring: AlphaFold2 on Ciphertext' — technical deep dive</w:t>
            </w:r>
          </w:p>
        </w:tc>
      </w:tr>
      <w:tr>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FHE multimodal AI inference</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888888"/>
                <w:sz w:val="18"/>
                <w:szCs w:val="18"/>
              </w:rPr>
              <w:t xml:space="preserve">Security researchers, enterprise CISOs</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0A0A0A"/>
                <w:sz w:val="19"/>
                <w:szCs w:val="19"/>
              </w:rPr>
              <w:t xml:space="preserve">'Homomorphic Inference at 1.1s Latency' — benchmark post</w:t>
            </w:r>
          </w:p>
        </w:tc>
      </w:tr>
      <w:tr>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NVIDIA GR00T LangChain agent</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888888"/>
                <w:sz w:val="18"/>
                <w:szCs w:val="18"/>
              </w:rPr>
              <w:t xml:space="preserve">Robotics engineers, autonomous systems</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0A0A0A"/>
                <w:sz w:val="19"/>
                <w:szCs w:val="19"/>
              </w:rPr>
              <w:t xml:space="preserve">'Orchestrating GR00T-2 with Multi-Agent Crews' — tutorial</w:t>
            </w:r>
          </w:p>
        </w:tc>
      </w:tr>
      <w:tr>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AlphaFold2 DiffDock API Python</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888888"/>
                <w:sz w:val="18"/>
                <w:szCs w:val="18"/>
              </w:rPr>
              <w:t xml:space="preserve">Bioinformaticians, academic labs</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0A0A0A"/>
                <w:sz w:val="19"/>
                <w:szCs w:val="19"/>
              </w:rPr>
              <w:t xml:space="preserve">'Biology Pipeline via REST in 10 Lines' — code walkthrough</w:t>
            </w:r>
          </w:p>
        </w:tc>
      </w:tr>
      <w:tr>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NVIDIA Riva speech agent FastAPI</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888888"/>
                <w:sz w:val="18"/>
                <w:szCs w:val="18"/>
              </w:rPr>
              <w:t xml:space="preserve">Voice AI developers</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0A0A0A"/>
                <w:sz w:val="19"/>
                <w:szCs w:val="19"/>
              </w:rPr>
              <w:t xml:space="preserve">'Production Speech Agents with Riva + Smart Router' — tutorial</w:t>
            </w:r>
          </w:p>
        </w:tc>
      </w:tr>
      <w:tr>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zero trust AI agent builder</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888888"/>
                <w:sz w:val="18"/>
                <w:szCs w:val="18"/>
              </w:rPr>
              <w:t xml:space="preserve">Security architects, Fortune 500 IT</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0A0A0A"/>
                <w:sz w:val="19"/>
                <w:szCs w:val="19"/>
              </w:rPr>
              <w:t xml:space="preserve">'The Zero-Trust Agent Builder — FHE Workflow Nodes' — guide</w:t>
            </w:r>
          </w:p>
        </w:tc>
      </w:tr>
      <w:tr>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homomorphic encryption AI inference latency</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888888"/>
                <w:sz w:val="18"/>
                <w:szCs w:val="18"/>
              </w:rPr>
              <w:t xml:space="preserve">Cryptography researchers, DARPA reviewers</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0A0A0A"/>
                <w:sz w:val="19"/>
                <w:szCs w:val="19"/>
              </w:rPr>
              <w:t xml:space="preserve">'CKKS + BFV at Production Latency' — research post</w:t>
            </w:r>
          </w:p>
        </w:tc>
      </w:tr>
      <w:tr>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NVIDIA BioNeMo drug discovery pipeline</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888888"/>
                <w:sz w:val="18"/>
                <w:szCs w:val="18"/>
              </w:rPr>
              <w:t xml:space="preserve">Drug discovery teams, pharma R&amp;D</w:t>
            </w:r>
          </w:p>
        </w:tc>
        <w:tc>
          <w:tcPr>
            <w:tcBorders>
              <w:top w:val="single" w:color="CCCCCC" w:sz="2"/>
              <w:left w:val="single" w:color="CCCCCC" w:sz="2"/>
              <w:bottom w:val="single" w:color="CCCCCC" w:sz="2"/>
              <w:right w:val="single" w:color="CCCCCC" w:sz="2"/>
            </w:tcBorders>
            <w:shd w:fill="F0F0F0" w:val="clear"/>
            <w:tcMar>
              <w:top w:type="dxa" w:w="90"/>
              <w:left w:type="dxa" w:w="160"/>
              <w:bottom w:type="dxa" w:w="90"/>
              <w:right w:type="dxa" w:w="100"/>
            </w:tcMar>
          </w:tcPr>
          <w:p>
            <w:r>
              <w:rPr>
                <w:rFonts w:ascii="Arial" w:cs="Arial" w:eastAsia="Arial" w:hAnsi="Arial"/>
                <w:color w:val="0A0A0A"/>
                <w:sz w:val="19"/>
                <w:szCs w:val="19"/>
              </w:rPr>
              <w:t xml:space="preserve">'The 5-Model Biology Stack: End-to-End' — deep dive</w:t>
            </w:r>
          </w:p>
        </w:tc>
      </w:tr>
      <w:tr>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Courier New" w:cs="Courier New" w:eastAsia="Courier New" w:hAnsi="Courier New"/>
                <w:b/>
                <w:bCs/>
                <w:color w:val="004D52"/>
                <w:sz w:val="19"/>
                <w:szCs w:val="19"/>
              </w:rPr>
              <w:t xml:space="preserve">multimodal AI orchestration platform</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888888"/>
                <w:sz w:val="18"/>
                <w:szCs w:val="18"/>
              </w:rPr>
              <w:t xml:space="preserve">Developers, startup CTOs, VCs</w:t>
            </w:r>
          </w:p>
        </w:tc>
        <w:tc>
          <w:tcPr>
            <w:tcBorders>
              <w:top w:val="single" w:color="CCCCCC" w:sz="2"/>
              <w:left w:val="single" w:color="CCCCCC" w:sz="2"/>
              <w:bottom w:val="single" w:color="CCCCCC" w:sz="2"/>
              <w:right w:val="single" w:color="CCCCCC" w:sz="2"/>
            </w:tcBorders>
            <w:shd w:fill="FFFFFF" w:val="clear"/>
            <w:tcMar>
              <w:top w:type="dxa" w:w="90"/>
              <w:left w:type="dxa" w:w="160"/>
              <w:bottom w:type="dxa" w:w="90"/>
              <w:right w:type="dxa" w:w="100"/>
            </w:tcMar>
          </w:tcPr>
          <w:p>
            <w:r>
              <w:rPr>
                <w:rFonts w:ascii="Arial" w:cs="Arial" w:eastAsia="Arial" w:hAnsi="Arial"/>
                <w:color w:val="0A0A0A"/>
                <w:sz w:val="19"/>
                <w:szCs w:val="19"/>
              </w:rPr>
              <w:t xml:space="preserve">GitHub README + architecture diagram + pinned posts</w:t>
            </w:r>
          </w:p>
        </w:tc>
      </w:tr>
    </w:tbl>
    <w:p>
      <w:pPr>
        <w:spacing w:before="60" w:after="0"/>
      </w:pPr>
      <w:r>
        <w:t xml:space="preserve"/>
      </w:r>
    </w:p>
    <w:p>
      <w:pPr>
        <w:pBdr>
          <w:left w:val="single" w:color="004D52" w:sz="20" w:space="16"/>
        </w:pBdr>
        <w:spacing w:before="160" w:after="160"/>
        <w:ind w:left="480"/>
      </w:pPr>
      <w:r>
        <w:rPr>
          <w:rFonts w:ascii="Arial" w:cs="Arial" w:eastAsia="Arial" w:hAnsi="Arial"/>
          <w:b/>
          <w:bCs/>
          <w:i/>
          <w:iCs/>
          <w:color w:val="004D52"/>
          <w:sz w:val="28"/>
          <w:szCs w:val="28"/>
        </w:rPr>
        <w:t xml:space="preserve">One technical post targeting a zero-competition query is permanent real estate. Cold emails expire. Search rankings compound.</w:t>
      </w:r>
    </w:p>
    <w:p>
      <w:pPr>
        <w:spacing w:before="40" w:after="0"/>
      </w:pPr>
      <w:r>
        <w:t xml:space="preserve"/>
      </w:r>
    </w:p>
    <w:p>
      <w:pPr>
        <w:pStyle w:val="Heading3"/>
        <w:spacing w:before="240" w:after="80"/>
      </w:pPr>
      <w:r>
        <w:rPr>
          <w:rFonts w:ascii="Arial" w:cs="Arial" w:eastAsia="Arial" w:hAnsi="Arial"/>
          <w:b/>
          <w:bCs/>
          <w:color w:val="004D52"/>
          <w:sz w:val="24"/>
          <w:szCs w:val="24"/>
        </w:rPr>
        <w:t xml:space="preserve">The GitHub Multiplier</w:t>
      </w:r>
    </w:p>
    <w:p>
      <w:pPr>
        <w:spacing w:before="80" w:after="80"/>
      </w:pPr>
      <w:r>
        <w:rPr>
          <w:rFonts w:ascii="Arial" w:cs="Arial" w:eastAsia="Arial" w:hAnsi="Arial"/>
          <w:color w:val="0A0A0A"/>
          <w:sz w:val="23"/>
          <w:szCs w:val="23"/>
        </w:rPr>
        <w:t xml:space="preserve">Stars on GitHub are investor signals. a16z has written checks based on star velocity. Sequoia tracks it. NVIDIA Inception monitors it. Three actions compound the AMAIMA repo permanently:</w:t>
      </w:r>
    </w:p>
    <w:p>
      <w:pPr>
        <w:spacing w:before="30" w:after="0"/>
      </w:pPr>
      <w:r>
        <w:t xml:space="preserve"/>
      </w:r>
    </w:p>
    <w:p>
      <w:pPr>
        <w:pStyle w:val="ListParagraph"/>
        <w:numPr>
          <w:ilvl w:val="0"/>
          <w:numId w:val="2"/>
        </w:numPr>
        <w:spacing w:before="60" w:after="60"/>
      </w:pPr>
      <w:r>
        <w:rPr>
          <w:rFonts w:ascii="Arial" w:cs="Arial" w:eastAsia="Arial" w:hAnsi="Arial"/>
          <w:color w:val="004D52"/>
          <w:sz w:val="22"/>
          <w:szCs w:val="22"/>
        </w:rPr>
        <w:t xml:space="preserve">Add topic tags: nvidia-nim, fhe, homomorphic-encryption, langchain, crewai, drug-discovery, robotics-ai, multimodal. Each tag is a discovery channel for a different community.</w:t>
      </w:r>
    </w:p>
    <w:p>
      <w:pPr>
        <w:pStyle w:val="ListParagraph"/>
        <w:numPr>
          <w:ilvl w:val="0"/>
          <w:numId w:val="2"/>
        </w:numPr>
        <w:spacing w:before="60" w:after="60"/>
      </w:pPr>
      <w:r>
        <w:rPr>
          <w:rFonts w:ascii="Arial" w:cs="Arial" w:eastAsia="Arial" w:hAnsi="Arial"/>
          <w:color w:val="004D52"/>
          <w:sz w:val="22"/>
          <w:szCs w:val="22"/>
        </w:rPr>
        <w:t xml:space="preserve">Pin three issues: 'How to query the biology pipeline,' 'FHE demo walkthrough,' 'Add your NVIDIA NIM use case.' Each is a search result that lives forever.</w:t>
      </w:r>
    </w:p>
    <w:p>
      <w:pPr>
        <w:pStyle w:val="ListParagraph"/>
        <w:numPr>
          <w:ilvl w:val="0"/>
          <w:numId w:val="2"/>
        </w:numPr>
        <w:spacing w:before="60" w:after="60"/>
      </w:pPr>
      <w:r>
        <w:rPr>
          <w:rFonts w:ascii="Arial" w:cs="Arial" w:eastAsia="Arial" w:hAnsi="Arial"/>
          <w:color w:val="004D52"/>
          <w:sz w:val="22"/>
          <w:szCs w:val="22"/>
        </w:rPr>
        <w:t xml:space="preserve">Architecture README: a technical diagram showing how Smart Router v2, the FHE engine, and six domain services connect. Developers fork it. Forks become citations. Citations become inbound.</w:t>
      </w:r>
    </w:p>
    <w:p>
      <w:pPr>
        <w:spacing w:before="80" w:after="0"/>
      </w:pPr>
      <w:r>
        <w:t xml:space="preserve"/>
      </w:r>
    </w:p>
    <w:p>
      <w:pPr>
        <w:pBdr>
          <w:bottom w:val="single" w:color="BF360C" w:sz="14" w:space="1"/>
        </w:pBdr>
        <w:spacing w:before="180" w:after="180"/>
      </w:pPr>
      <w:r>
        <w:t xml:space="preserve"/>
      </w:r>
    </w:p>
    <w:p>
      <w:pPr>
        <w:pStyle w:val="Heading2"/>
        <w:spacing w:before="360" w:after="120"/>
      </w:pPr>
      <w:r>
        <w:rPr>
          <w:rFonts w:ascii="Arial" w:cs="Arial" w:eastAsia="Arial" w:hAnsi="Arial"/>
          <w:b/>
          <w:bCs/>
          <w:color w:val="0A0A0A"/>
          <w:sz w:val="30"/>
          <w:szCs w:val="30"/>
        </w:rPr>
        <w:t xml:space="preserve">Force 02: Signal Gravity</w:t>
      </w:r>
    </w:p>
    <w:p>
      <w:pPr>
        <w:spacing w:before="40" w:after="60"/>
      </w:pPr>
      <w:r>
        <w:rPr>
          <w:rFonts w:ascii="Arial" w:cs="Arial" w:eastAsia="Arial" w:hAnsi="Arial"/>
          <w:b/>
          <w:bCs/>
          <w:color w:val="888888"/>
          <w:sz w:val="17"/>
          <w:szCs w:val="17"/>
        </w:rPr>
        <w:t xml:space="preserve">PUBLISH ONCE IN THE RIGHT PLACE. REACH THOUSANDS WHO MATTER.</w:t>
      </w:r>
    </w:p>
    <w:p>
      <w:pPr>
        <w:spacing w:before="40" w:after="0"/>
      </w:pPr>
      <w:r>
        <w:t xml:space="preserve"/>
      </w:r>
    </w:p>
    <w:p>
      <w:pPr>
        <w:spacing w:before="100" w:after="100"/>
      </w:pPr>
      <w:r>
        <w:rPr>
          <w:rFonts w:ascii="Arial" w:cs="Arial" w:eastAsia="Arial" w:hAnsi="Arial"/>
          <w:i/>
          <w:iCs/>
          <w:color w:val="0A0A0A"/>
          <w:sz w:val="27"/>
          <w:szCs w:val="27"/>
        </w:rPr>
        <w:t xml:space="preserve">You are already an NVIDIA Developer member. The NVIDIA Developer Blog submission path is open today. This is the highest-leverage content channel available to any AI company building on NVIDIA's stack.</w:t>
      </w:r>
    </w:p>
    <w:p>
      <w:pPr>
        <w:spacing w:before="40" w:after="0"/>
      </w:pPr>
      <w:r>
        <w:t xml:space="preserve"/>
      </w:r>
    </w:p>
    <w:p>
      <w:pPr>
        <w:spacing w:before="80" w:after="80"/>
      </w:pPr>
      <w:r>
        <w:rPr>
          <w:rFonts w:ascii="Arial" w:cs="Arial" w:eastAsia="Arial" w:hAnsi="Arial"/>
          <w:color w:val="0A0A0A"/>
          <w:sz w:val="23"/>
          <w:szCs w:val="23"/>
        </w:rPr>
        <w:t xml:space="preserve">The NVIDIA Developer Blog reaches every NVIDIA enterprise customer, every Inception member, every NVentures portfolio company, and every developer building on NIM. A post published there is not content marketing — it is NVIDIA positioning AMAIMA's implementation as a reference for their entire ecosystem. That is worth more than any press release, any cold email, and any pitch meeting where you are asking someone to believe you.</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200"/>
              <w:left w:type="dxa" w:w="320"/>
              <w:bottom w:type="dxa" w:w="200"/>
              <w:right w:type="dxa" w:w="320"/>
            </w:tcMar>
          </w:tcPr>
          <w:p>
            <w:pPr>
              <w:spacing w:before="0" w:after="36"/>
            </w:pPr>
            <w:r>
              <w:rPr>
                <w:rFonts w:ascii="Arial" w:cs="Arial" w:eastAsia="Arial" w:hAnsi="Arial"/>
                <w:b/>
                <w:bCs/>
                <w:caps/>
                <w:color w:val="BF360C"/>
                <w:sz w:val="17"/>
                <w:szCs w:val="17"/>
              </w:rPr>
              <w:t xml:space="preserve">THE NVIDIA DEVELOPER BLOG ARTICLE</w:t>
            </w:r>
          </w:p>
          <w:p>
            <w:pPr>
              <w:spacing w:before="0" w:after="24"/>
            </w:pPr>
            <w:r>
              <w:rPr>
                <w:rFonts w:ascii="Arial" w:cs="Arial" w:eastAsia="Arial" w:hAnsi="Arial"/>
                <w:color w:val="888888"/>
                <w:sz w:val="19"/>
                <w:szCs w:val="19"/>
              </w:rPr>
              <w:t xml:space="preserve">Article title — ready to submit as Document 2 of this set:</w:t>
            </w:r>
          </w:p>
          <w:p>
            <w:pPr>
              <w:spacing w:before="0" w:after="40"/>
            </w:pPr>
            <w:r>
              <w:rPr>
                <w:rFonts w:ascii="Arial" w:cs="Arial" w:eastAsia="Arial" w:hAnsi="Arial"/>
                <w:b/>
                <w:bCs/>
                <w:color w:val="FFFFFF"/>
                <w:sz w:val="28"/>
                <w:szCs w:val="28"/>
              </w:rPr>
              <w:t xml:space="preserve">"One Developer. 26 NIM Models. One Live Platform. Building the Reference Implementation of NVIDIA's Physical AI Stack."</w:t>
            </w:r>
          </w:p>
          <w:p>
            <w:pPr>
              <w:spacing w:before="0" w:after="28"/>
            </w:pPr>
            <w:r>
              <w:rPr>
                <w:rFonts w:ascii="Arial" w:cs="Arial" w:eastAsia="Arial" w:hAnsi="Arial"/>
                <w:color w:val="AAAAAA"/>
                <w:sz w:val="21"/>
                <w:szCs w:val="21"/>
              </w:rPr>
              <w:t xml:space="preserve">Covers: Smart Router v2 architecture · domain coexistence · FHE integration · performance benchmarks · live demo links · code examples.</w:t>
            </w:r>
          </w:p>
          <w:p>
            <w:pPr>
              <w:spacing w:before="0" w:after="0"/>
            </w:pPr>
            <w:r>
              <w:rPr>
                <w:rFonts w:ascii="Arial" w:cs="Arial" w:eastAsia="Arial" w:hAnsi="Arial"/>
                <w:color w:val="AAAAAA"/>
                <w:sz w:val="21"/>
                <w:szCs w:val="21"/>
              </w:rPr>
              <w:t xml:space="preserve">When NVIDIA publishes this: every NVIDIA customer reads it. NVentures sees it. Jensen Huang's team sees it. DARPA program managers building on NVIDIA hardware see it. GTC attendees find it before March 16.</w:t>
            </w:r>
          </w:p>
        </w:tc>
      </w:tr>
    </w:tbl>
    <w:p>
      <w:pPr>
        <w:spacing w:before="60" w:after="0"/>
      </w:pPr>
      <w:r>
        <w:t xml:space="preserve"/>
      </w:r>
    </w:p>
    <w:p>
      <w:pPr>
        <w:pStyle w:val="Heading3"/>
        <w:spacing w:before="240" w:after="80"/>
      </w:pPr>
      <w:r>
        <w:rPr>
          <w:rFonts w:ascii="Arial" w:cs="Arial" w:eastAsia="Arial" w:hAnsi="Arial"/>
          <w:b/>
          <w:bCs/>
          <w:color w:val="BF360C"/>
          <w:sz w:val="24"/>
          <w:szCs w:val="24"/>
        </w:rPr>
        <w:t xml:space="preserve">The Signal Stack — Ranked by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560"/>
        <w:gridCol w:w="3800"/>
      </w:tblGrid>
      <w:tr>
        <w:tc>
          <w:tcPr>
            <w:tcBorders>
              <w:top w:val="single" w:color="CCCCCC" w:sz="2"/>
              <w:left w:val="single" w:color="CCCCCC" w:sz="2"/>
              <w:bottom w:val="single" w:color="CCCCCC" w:sz="2"/>
              <w:right w:val="single" w:color="CCCCCC" w:sz="2"/>
            </w:tcBorders>
            <w:shd w:fill="0A0A0A" w:val="clear"/>
            <w:tcMar>
              <w:top w:type="dxa" w:w="100"/>
              <w:left w:type="dxa" w:w="100"/>
              <w:bottom w:type="dxa" w:w="100"/>
              <w:right w:type="dxa" w:w="100"/>
            </w:tcMar>
          </w:tcPr>
          <w:p>
            <w:pPr>
              <w:jc w:val="center"/>
            </w:pPr>
            <w:r>
              <w:rPr>
                <w:rFonts w:ascii="Arial" w:cs="Arial" w:eastAsia="Arial" w:hAnsi="Arial"/>
                <w:b/>
                <w:bCs/>
                <w:caps/>
                <w:color w:val="FFFFFF"/>
                <w:sz w:val="17"/>
                <w:szCs w:val="17"/>
              </w:rPr>
              <w:t xml:space="preserve">#</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CHANNEL</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WHO IT REACHES</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THE SPECIFIC POST</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1</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b/>
                <w:bCs/>
                <w:color w:val="0A0A0A"/>
                <w:sz w:val="19"/>
                <w:szCs w:val="19"/>
              </w:rPr>
              <w:t xml:space="preserve">NVIDIA Developer Blog</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Every NVIDIA customer, NVentures, Inception, GTC attendees</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'One Developer. 26 NIM Models.' — the full technical origin story (Document 2)</w:t>
            </w:r>
          </w:p>
        </w:tc>
      </w:tr>
      <w:tr>
        <w:tc>
          <w:tcPr>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2</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b/>
                <w:bCs/>
                <w:color w:val="0A0A0A"/>
                <w:sz w:val="19"/>
                <w:szCs w:val="19"/>
              </w:rPr>
              <w:t xml:space="preserve">Hugging Face Blog</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888888"/>
                <w:sz w:val="18"/>
                <w:szCs w:val="18"/>
              </w:rPr>
              <w:t xml:space="preserve">200K+ ML researchers and engineers globally</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'FHE Inference with TenSEAL + NVIDIA NIM — Production Benchmarks'</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3</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b/>
                <w:bCs/>
                <w:color w:val="0A0A0A"/>
                <w:sz w:val="19"/>
                <w:szCs w:val="19"/>
              </w:rPr>
              <w:t xml:space="preserve">bioRxiv preprint</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Drug discovery researchers, pharma R&amp;D, academic labs worldwide</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'Encrypted Molecular Generation: AlphaFold2 + DiffDock on Ciphertext'</w:t>
            </w:r>
          </w:p>
        </w:tc>
      </w:tr>
      <w:tr>
        <w:tc>
          <w:tcPr>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4</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b/>
                <w:bCs/>
                <w:color w:val="0A0A0A"/>
                <w:sz w:val="19"/>
                <w:szCs w:val="19"/>
              </w:rPr>
              <w:t xml:space="preserve">arXiv cs.CR</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888888"/>
                <w:sz w:val="18"/>
                <w:szCs w:val="18"/>
              </w:rPr>
              <w:t xml:space="preserve">Cryptography researchers, DARPA reviewers, NSA, IBM FHE team</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'Practical FHE Inference on Multimodal AI Platforms: A Production Case Study'</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5</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b/>
                <w:bCs/>
                <w:color w:val="0A0A0A"/>
                <w:sz w:val="19"/>
                <w:szCs w:val="19"/>
              </w:rPr>
              <w:t xml:space="preserve">X — long thread</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Developers, VCs, NVIDIA executives who are active daily</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'I built 26 NVIDIA NIM models into one platform alone. Here is what I learned.'</w:t>
            </w:r>
          </w:p>
        </w:tc>
      </w:tr>
      <w:tr>
        <w:tc>
          <w:tcPr>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6</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b/>
                <w:bCs/>
                <w:color w:val="0A0A0A"/>
                <w:sz w:val="19"/>
                <w:szCs w:val="19"/>
              </w:rPr>
              <w:t xml:space="preserve">LinkedIn — article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888888"/>
                <w:sz w:val="18"/>
                <w:szCs w:val="18"/>
              </w:rPr>
              <w:t xml:space="preserve">Enterprise buyers, CISOs, VCs, biopharma executives</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'Why Every Hospital Will Need an AI Platform That Cannot Read Their Data'</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7</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b/>
                <w:bCs/>
                <w:color w:val="0A0A0A"/>
                <w:sz w:val="19"/>
                <w:szCs w:val="19"/>
              </w:rPr>
              <w:t xml:space="preserve">Substack — technical</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ML engineers, technical founders, developer community</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Weekly: 'Building AMAIMA' — implementation posts behind the system</w:t>
            </w:r>
          </w:p>
        </w:tc>
      </w:tr>
      <w:tr>
        <w:tc>
          <w:tcPr>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jc w:val="center"/>
            </w:pPr>
            <w:r>
              <w:rPr>
                <w:rFonts w:ascii="Arial" w:cs="Arial" w:eastAsia="Arial" w:hAnsi="Arial"/>
                <w:b/>
                <w:bCs/>
                <w:color w:val="BF360C"/>
                <w:sz w:val="22"/>
                <w:szCs w:val="22"/>
              </w:rPr>
              <w:t xml:space="preserve">8</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b/>
                <w:bCs/>
                <w:color w:val="0A0A0A"/>
                <w:sz w:val="19"/>
                <w:szCs w:val="19"/>
              </w:rPr>
              <w:t xml:space="preserve">Reddit r/MachineLearning</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888888"/>
                <w:sz w:val="18"/>
                <w:szCs w:val="18"/>
              </w:rPr>
              <w:t xml:space="preserve">Global ML community, researchers, startup engineers</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'Benchmarking FHE on a 26-model multimodal stack [technical, with numbers]'</w:t>
            </w:r>
          </w:p>
        </w:tc>
      </w:tr>
    </w:tbl>
    <w:p>
      <w:pPr>
        <w:spacing w:before="80" w:after="0"/>
      </w:pPr>
      <w:r>
        <w:t xml:space="preserve"/>
      </w:r>
    </w:p>
    <w:p>
      <w:pPr>
        <w:pBdr>
          <w:bottom w:val="single" w:color="1A0050" w:sz="14" w:space="1"/>
        </w:pBdr>
        <w:spacing w:before="180" w:after="180"/>
      </w:pPr>
      <w:r>
        <w:t xml:space="preserve"/>
      </w:r>
    </w:p>
    <w:p>
      <w:pPr>
        <w:pStyle w:val="Heading2"/>
        <w:spacing w:before="360" w:after="120"/>
      </w:pPr>
      <w:r>
        <w:rPr>
          <w:rFonts w:ascii="Arial" w:cs="Arial" w:eastAsia="Arial" w:hAnsi="Arial"/>
          <w:b/>
          <w:bCs/>
          <w:color w:val="0A0A0A"/>
          <w:sz w:val="30"/>
          <w:szCs w:val="30"/>
        </w:rPr>
        <w:t xml:space="preserve">Force 03: Demo Gravity</w:t>
      </w:r>
    </w:p>
    <w:p>
      <w:pPr>
        <w:spacing w:before="40" w:after="60"/>
      </w:pPr>
      <w:r>
        <w:rPr>
          <w:rFonts w:ascii="Arial" w:cs="Arial" w:eastAsia="Arial" w:hAnsi="Arial"/>
          <w:b/>
          <w:bCs/>
          <w:color w:val="888888"/>
          <w:sz w:val="17"/>
          <w:szCs w:val="17"/>
        </w:rPr>
        <w:t xml:space="preserve">THE PLATFORM IS THE ARGUMENT. LET IT SPEAK.</w:t>
      </w:r>
    </w:p>
    <w:p>
      <w:pPr>
        <w:spacing w:before="40" w:after="0"/>
      </w:pPr>
      <w:r>
        <w:t xml:space="preserve"/>
      </w:r>
    </w:p>
    <w:p>
      <w:pPr>
        <w:spacing w:before="100" w:after="100"/>
      </w:pPr>
      <w:r>
        <w:rPr>
          <w:rFonts w:ascii="Arial" w:cs="Arial" w:eastAsia="Arial" w:hAnsi="Arial"/>
          <w:i/>
          <w:iCs/>
          <w:color w:val="0A0A0A"/>
          <w:sz w:val="27"/>
          <w:szCs w:val="27"/>
        </w:rPr>
        <w:t xml:space="preserve">A 90-second screen recording of encrypted drug scoring is more persuasive than any document in this folder. Including this one.</w:t>
      </w:r>
    </w:p>
    <w:p>
      <w:pPr>
        <w:spacing w:before="40" w:after="0"/>
      </w:pPr>
      <w:r>
        <w:t xml:space="preserve"/>
      </w:r>
    </w:p>
    <w:p>
      <w:pPr>
        <w:spacing w:before="80" w:after="80"/>
      </w:pPr>
      <w:r>
        <w:rPr>
          <w:rFonts w:ascii="Arial" w:cs="Arial" w:eastAsia="Arial" w:hAnsi="Arial"/>
          <w:color w:val="0A0A0A"/>
          <w:sz w:val="23"/>
          <w:szCs w:val="23"/>
        </w:rPr>
        <w:t xml:space="preserve">Demo gravity is not about producing marketing content. It is about capturing the platform doing things that appear impossible — and letting that footage reach communities who understand exactly why they are impossible. A pharma researcher who watches a compound library get scored against a protein target while remaining fully encrypted does not need to be convinced. They need to be shown once.</w:t>
      </w:r>
    </w:p>
    <w:p>
      <w:pPr>
        <w:spacing w:before="50" w:after="0"/>
      </w:pPr>
      <w:r>
        <w:t xml:space="preserve"/>
      </w:r>
    </w:p>
    <w:p>
      <w:pPr>
        <w:pStyle w:val="Heading3"/>
        <w:spacing w:before="240" w:after="80"/>
      </w:pPr>
      <w:r>
        <w:rPr>
          <w:rFonts w:ascii="Arial" w:cs="Arial" w:eastAsia="Arial" w:hAnsi="Arial"/>
          <w:b/>
          <w:bCs/>
          <w:color w:val="1A0050"/>
          <w:sz w:val="24"/>
          <w:szCs w:val="24"/>
        </w:rPr>
        <w:t xml:space="preserve">Five Demo Assets That Circulate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760"/>
        <w:gridCol w:w="2560"/>
        <w:gridCol w:w="3700"/>
      </w:tblGrid>
      <w:tr>
        <w:tc>
          <w:tcPr>
            <w:tcBorders>
              <w:top w:val="single" w:color="CCCCCC" w:sz="2"/>
              <w:left w:val="single" w:color="CCCCCC" w:sz="2"/>
              <w:bottom w:val="single" w:color="CCCCCC" w:sz="2"/>
              <w:right w:val="single" w:color="CCCCCC" w:sz="2"/>
            </w:tcBorders>
            <w:shd w:fill="0A0A0A" w:val="clear"/>
            <w:tcMar>
              <w:top w:type="dxa" w:w="100"/>
              <w:left w:type="dxa" w:w="100"/>
              <w:bottom w:type="dxa" w:w="100"/>
              <w:right w:type="dxa" w:w="100"/>
            </w:tcMar>
          </w:tcPr>
          <w:p>
            <w:pPr>
              <w:jc w:val="center"/>
            </w:pPr>
            <w:r>
              <w:rPr>
                <w:rFonts w:ascii="Arial" w:cs="Arial" w:eastAsia="Arial" w:hAnsi="Arial"/>
                <w:b/>
                <w:bCs/>
                <w:caps/>
                <w:color w:val="FFFFFF"/>
                <w:sz w:val="17"/>
                <w:szCs w:val="17"/>
              </w:rPr>
              <w:t xml:space="preserve"> </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DEMO</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FORMAT</w:t>
            </w:r>
          </w:p>
        </w:tc>
        <w:tc>
          <w:tcPr>
            <w:tcBorders>
              <w:top w:val="single" w:color="CCCCCC" w:sz="2"/>
              <w:left w:val="single" w:color="CCCCCC" w:sz="2"/>
              <w:bottom w:val="single" w:color="CCCCCC" w:sz="2"/>
              <w:right w:val="single" w:color="CCCCCC" w:sz="2"/>
            </w:tcBorders>
            <w:shd w:fill="0A0A0A" w:val="clear"/>
            <w:tcMar>
              <w:top w:type="dxa" w:w="100"/>
              <w:left w:type="dxa" w:w="160"/>
              <w:bottom w:type="dxa" w:w="100"/>
              <w:right w:type="dxa" w:w="100"/>
            </w:tcMar>
          </w:tcPr>
          <w:p>
            <w:r>
              <w:rPr>
                <w:rFonts w:ascii="Arial" w:cs="Arial" w:eastAsia="Arial" w:hAnsi="Arial"/>
                <w:b/>
                <w:bCs/>
                <w:caps/>
                <w:color w:val="FFFFFF"/>
                <w:sz w:val="17"/>
                <w:szCs w:val="17"/>
              </w:rPr>
              <w:t xml:space="preserve">WHY IT CIRCULATES</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1A0050"/>
                <w:sz w:val="22"/>
                <w:szCs w:val="22"/>
              </w:rPr>
              <w:t xml:space="preserve">A</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Encrypted drug scoring — compound in as ciphertext, result back as ciphertext, decrypt locally. 90 seconds, no narration.</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Screen recording</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Every pharma researcher who sees this understands immediately. They forward it. No caption needed.</w:t>
            </w:r>
          </w:p>
        </w:tc>
      </w:tr>
      <w:tr>
        <w:tc>
          <w:tcPr>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jc w:val="center"/>
            </w:pPr>
            <w:r>
              <w:rPr>
                <w:rFonts w:ascii="Arial" w:cs="Arial" w:eastAsia="Arial" w:hAnsi="Arial"/>
                <w:b/>
                <w:bCs/>
                <w:color w:val="1A0050"/>
                <w:sz w:val="22"/>
                <w:szCs w:val="22"/>
              </w:rPr>
              <w:t xml:space="preserve">B</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Smart Router v2 live — one query routed across 6 domains with latency overlay showing decision logic in real time.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888888"/>
                <w:sz w:val="18"/>
                <w:szCs w:val="18"/>
              </w:rPr>
              <w:t xml:space="preserve">Terminal + browser split</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Developers share it because the routing logic is genuinely novel. GitHub stars follow within days.</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1A0050"/>
                <w:sz w:val="22"/>
                <w:szCs w:val="22"/>
              </w:rPr>
              <w:t xml:space="preserve">C</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Agent Builder — drag AlphaFold2 → DiffDock → Encrypted Drug Score → Decrypt. One pipeline, no code, fully visual.</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Canvas screen recording</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No other agent builder has FHE nodes. This screenshot gets shared by enterprise AI teams on LinkedIn.</w:t>
            </w:r>
          </w:p>
        </w:tc>
      </w:tr>
      <w:tr>
        <w:tc>
          <w:tcPr>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pPr>
              <w:jc w:val="center"/>
            </w:pPr>
            <w:r>
              <w:rPr>
                <w:rFonts w:ascii="Arial" w:cs="Arial" w:eastAsia="Arial" w:hAnsi="Arial"/>
                <w:b/>
                <w:bCs/>
                <w:color w:val="1A0050"/>
                <w:sz w:val="22"/>
                <w:szCs w:val="22"/>
              </w:rPr>
              <w:t xml:space="preserve">D</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'5 lines of Python to FHE' — encrypt, send to AMAIMA API, receive ciphertext, decrypt. The entire cycle live in a Jupyter notebook.</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888888"/>
                <w:sz w:val="18"/>
                <w:szCs w:val="18"/>
              </w:rPr>
              <w:t xml:space="preserve">Jupyter walkthrough</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00"/>
            </w:tcMar>
          </w:tcPr>
          <w:p>
            <w:r>
              <w:rPr>
                <w:rFonts w:ascii="Arial" w:cs="Arial" w:eastAsia="Arial" w:hAnsi="Arial"/>
                <w:color w:val="0A0A0A"/>
                <w:sz w:val="19"/>
                <w:szCs w:val="19"/>
              </w:rPr>
              <w:t xml:space="preserve">Developer community reposts. Hugging Face Spaces potential. Can become an arXiv code supplement.</w:t>
            </w:r>
          </w:p>
        </w:tc>
      </w:tr>
      <w:tr>
        <w:tc>
          <w:tcPr>
            <w:tcBorders>
              <w:top w:val="single" w:color="CCCCCC" w:sz="2"/>
              <w:left w:val="single" w:color="CCCCCC" w:sz="2"/>
              <w:bottom w:val="single" w:color="CCCCCC" w:sz="2"/>
              <w:right w:val="single" w:color="CCCCCC" w:sz="2"/>
            </w:tcBorders>
            <w:shd w:fill="F0F0F0" w:val="clear"/>
            <w:tcMar>
              <w:top w:type="dxa" w:w="80"/>
              <w:left w:type="dxa" w:w="100"/>
              <w:bottom w:type="dxa" w:w="80"/>
              <w:right w:type="dxa" w:w="100"/>
            </w:tcMar>
          </w:tcPr>
          <w:p>
            <w:pPr>
              <w:jc w:val="center"/>
            </w:pPr>
            <w:r>
              <w:rPr>
                <w:rFonts w:ascii="Arial" w:cs="Arial" w:eastAsia="Arial" w:hAnsi="Arial"/>
                <w:b/>
                <w:bCs/>
                <w:color w:val="1A0050"/>
                <w:sz w:val="22"/>
                <w:szCs w:val="22"/>
              </w:rPr>
              <w:t xml:space="preserve">E</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GTC hallway demo — 2 minutes, scripted, covering all six domains and FHE in sequence. Designed for a laptop in any conversation.</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888888"/>
                <w:sz w:val="18"/>
                <w:szCs w:val="18"/>
              </w:rPr>
              <w:t xml:space="preserve">Live scripted demo</w:t>
            </w:r>
          </w:p>
        </w:tc>
        <w:tc>
          <w:tcPr>
            <w:tcBorders>
              <w:top w:val="single" w:color="CCCCCC" w:sz="2"/>
              <w:left w:val="single" w:color="CCCCCC" w:sz="2"/>
              <w:bottom w:val="single" w:color="CCCCCC" w:sz="2"/>
              <w:right w:val="single" w:color="CCCCCC" w:sz="2"/>
            </w:tcBorders>
            <w:shd w:fill="F0F0F0" w:val="clear"/>
            <w:tcMar>
              <w:top w:type="dxa" w:w="80"/>
              <w:left w:type="dxa" w:w="160"/>
              <w:bottom w:type="dxa" w:w="80"/>
              <w:right w:type="dxa" w:w="100"/>
            </w:tcMar>
          </w:tcPr>
          <w:p>
            <w:r>
              <w:rPr>
                <w:rFonts w:ascii="Arial" w:cs="Arial" w:eastAsia="Arial" w:hAnsi="Arial"/>
                <w:color w:val="0A0A0A"/>
                <w:sz w:val="19"/>
                <w:szCs w:val="19"/>
              </w:rPr>
              <w:t xml:space="preserve">This is the demo you run for Jensen Huang's team if you get 2 minutes at GTC March 16–19.</w:t>
            </w:r>
          </w:p>
        </w:tc>
      </w:tr>
    </w:tbl>
    <w:p>
      <w:pPr>
        <w:spacing w:before="80" w:after="0"/>
      </w:pPr>
      <w:r>
        <w:t xml:space="preserve"/>
      </w:r>
    </w:p>
    <w:p>
      <w:pPr>
        <w:pBdr>
          <w:bottom w:val="single" w:color="0A0A0A" w:sz="20" w:space="1"/>
        </w:pBdr>
        <w:spacing w:before="180" w:after="180"/>
      </w:pPr>
      <w:r>
        <w:t xml:space="preserve"/>
      </w:r>
    </w:p>
    <w:p>
      <w:pPr>
        <w:pStyle w:val="Heading1"/>
        <w:spacing w:before="520" w:after="160"/>
      </w:pPr>
      <w:r>
        <w:rPr>
          <w:rFonts w:ascii="Arial" w:cs="Arial" w:eastAsia="Arial" w:hAnsi="Arial"/>
          <w:b/>
          <w:bCs/>
          <w:color w:val="0A0A0A"/>
          <w:sz w:val="44"/>
          <w:szCs w:val="44"/>
        </w:rPr>
        <w:t xml:space="preserve">The 90-Day Field Manual</w:t>
      </w:r>
    </w:p>
    <w:p>
      <w:pPr>
        <w:spacing w:before="40" w:after="60"/>
      </w:pPr>
      <w:r>
        <w:rPr>
          <w:rFonts w:ascii="Arial" w:cs="Arial" w:eastAsia="Arial" w:hAnsi="Arial"/>
          <w:b/>
          <w:bCs/>
          <w:color w:val="888888"/>
          <w:sz w:val="17"/>
          <w:szCs w:val="17"/>
        </w:rPr>
        <w:t xml:space="preserve">WEEK BY WEEK. ACTION BY ACTION. EVERY STEP COMPOUNDS.</w:t>
      </w:r>
    </w:p>
    <w:p>
      <w:pPr>
        <w:spacing w:before="40" w:after="0"/>
      </w:pPr>
      <w:r>
        <w:t xml:space="preserve"/>
      </w:r>
    </w:p>
    <w:p>
      <w:pPr>
        <w:spacing w:before="100" w:after="100"/>
      </w:pPr>
      <w:r>
        <w:rPr>
          <w:rFonts w:ascii="Arial" w:cs="Arial" w:eastAsia="Arial" w:hAnsi="Arial"/>
          <w:i/>
          <w:iCs/>
          <w:color w:val="0A0A0A"/>
          <w:sz w:val="27"/>
          <w:szCs w:val="27"/>
        </w:rPr>
        <w:t xml:space="preserve">Every action below is specific, executable today, and builds on the one before it. Nothing here requires a team. Everything here requires one person who already has the platform built.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2"/>
              <w:left w:val="single" w:color="CCCCCC" w:sz="2"/>
              <w:bottom w:val="single" w:color="CCCCCC" w:sz="2"/>
              <w:right w:val="single" w:color="CCCCCC" w:sz="2"/>
            </w:tcBorders>
            <w:shd w:fill="1B5E20" w:val="clear"/>
            <w:tcMar>
              <w:top w:type="dxa" w:w="180"/>
              <w:left w:type="dxa" w:w="140"/>
              <w:bottom w:type="dxa" w:w="180"/>
              <w:right w:type="dxa" w:w="140"/>
            </w:tcMar>
          </w:tcPr>
          <w:p>
            <w:pPr>
              <w:jc w:val="center"/>
            </w:pPr>
            <w:r>
              <w:rPr>
                <w:rFonts w:ascii="Arial" w:cs="Arial" w:eastAsia="Arial" w:hAnsi="Arial"/>
                <w:b/>
                <w:bCs/>
                <w:color w:val="FFFFFF"/>
                <w:sz w:val="19"/>
                <w:szCs w:val="19"/>
              </w:rPr>
              <w:t xml:space="preserve">WEEK 1
Feb 22–28</w:t>
            </w:r>
          </w:p>
        </w:tc>
        <w:tc>
          <w:tcPr>
            <w:tcW w:type="dxa" w:w="7920"/>
            <w:tcBorders>
              <w:top w:val="single" w:color="CCCCCC" w:sz="2"/>
              <w:left w:val="single" w:color="CCCCCC" w:sz="2"/>
              <w:bottom w:val="single" w:color="CCCCCC" w:sz="2"/>
              <w:right w:val="single" w:color="CCCCCC" w:sz="2"/>
            </w:tcBorders>
            <w:tcMar>
              <w:top w:type="dxa" w:w="160"/>
              <w:left w:type="dxa" w:w="240"/>
              <w:bottom w:type="dxa" w:w="160"/>
              <w:right w:type="dxa" w:w="180"/>
            </w:tcMar>
          </w:tcPr>
          <w:p>
            <w:pPr>
              <w:spacing w:before="0" w:after="14"/>
            </w:pPr>
            <w:r>
              <w:rPr>
                <w:rFonts w:ascii="Arial" w:cs="Arial" w:eastAsia="Arial" w:hAnsi="Arial"/>
                <w:b/>
                <w:bCs/>
                <w:color w:val="0A0A0A"/>
                <w:sz w:val="21"/>
                <w:szCs w:val="21"/>
              </w:rPr>
              <w:t xml:space="preserve">Day 1 — Apply for NVIDIA Inception (Developer member already — this is the next step). Unlocks $160K credits, GTC priority, NVentures path.</w:t>
            </w:r>
          </w:p>
          <w:p>
            <w:pPr>
              <w:spacing w:before="0" w:after="14"/>
            </w:pPr>
            <w:r>
              <w:rPr>
                <w:rFonts w:ascii="Arial" w:cs="Arial" w:eastAsia="Arial" w:hAnsi="Arial"/>
                <w:color w:val="0A0A0A"/>
                <w:sz w:val="21"/>
                <w:szCs w:val="21"/>
              </w:rPr>
              <w:t xml:space="preserve">Day 2 — Add GitHub topic tags: nvidia-nim, fhe, homomorphic-encryption, drug-discovery, robotics-ai, multimodal. Pin three issues.</w:t>
            </w:r>
          </w:p>
          <w:p>
            <w:pPr>
              <w:spacing w:before="0" w:after="14"/>
            </w:pPr>
            <w:r>
              <w:rPr>
                <w:rFonts w:ascii="Arial" w:cs="Arial" w:eastAsia="Arial" w:hAnsi="Arial"/>
                <w:color w:val="0A0A0A"/>
                <w:sz w:val="21"/>
                <w:szCs w:val="21"/>
              </w:rPr>
              <w:t xml:space="preserve">Day 3 — Record Demo A: encrypted drug scoring, 90 seconds, no narration. Post to X: 'The server processed this without being able to read it. amaima.live/fhe'</w:t>
            </w:r>
          </w:p>
          <w:p>
            <w:pPr>
              <w:spacing w:before="0" w:after="14"/>
            </w:pPr>
            <w:r>
              <w:rPr>
                <w:rFonts w:ascii="Arial" w:cs="Arial" w:eastAsia="Arial" w:hAnsi="Arial"/>
                <w:color w:val="0A0A0A"/>
                <w:sz w:val="21"/>
                <w:szCs w:val="21"/>
              </w:rPr>
              <w:t xml:space="preserve">Day 4 — Begin NVIDIA Developer Blog article (Document 2 of this set — full draft ready to submit).</w:t>
            </w:r>
          </w:p>
          <w:p>
            <w:pPr>
              <w:spacing w:before="0" w:after="0"/>
            </w:pPr>
            <w:r>
              <w:rPr>
                <w:rFonts w:ascii="Arial" w:cs="Arial" w:eastAsia="Arial" w:hAnsi="Arial"/>
                <w:color w:val="0A0A0A"/>
                <w:sz w:val="21"/>
                <w:szCs w:val="21"/>
              </w:rPr>
              <w:t xml:space="preserve">Day 5 — First X thread: 'I built 26 NVIDIA NIM models into one platform, alone, in 90 days. Here is what I learned.' Seven tweets. amaima.live in every reply.</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2"/>
              <w:left w:val="single" w:color="CCCCCC" w:sz="2"/>
              <w:bottom w:val="single" w:color="CCCCCC" w:sz="2"/>
              <w:right w:val="single" w:color="CCCCCC" w:sz="2"/>
            </w:tcBorders>
            <w:shd w:fill="BF360C" w:val="clear"/>
            <w:tcMar>
              <w:top w:type="dxa" w:w="180"/>
              <w:left w:type="dxa" w:w="140"/>
              <w:bottom w:type="dxa" w:w="180"/>
              <w:right w:type="dxa" w:w="140"/>
            </w:tcMar>
          </w:tcPr>
          <w:p>
            <w:pPr>
              <w:jc w:val="center"/>
            </w:pPr>
            <w:r>
              <w:rPr>
                <w:rFonts w:ascii="Arial" w:cs="Arial" w:eastAsia="Arial" w:hAnsi="Arial"/>
                <w:b/>
                <w:bCs/>
                <w:color w:val="FFFFFF"/>
                <w:sz w:val="19"/>
                <w:szCs w:val="19"/>
              </w:rPr>
              <w:t xml:space="preserve">WEEK 2
Mar 1–7</w:t>
            </w:r>
          </w:p>
        </w:tc>
        <w:tc>
          <w:tcPr>
            <w:tcW w:type="dxa" w:w="7920"/>
            <w:tcBorders>
              <w:top w:val="single" w:color="CCCCCC" w:sz="2"/>
              <w:left w:val="single" w:color="CCCCCC" w:sz="2"/>
              <w:bottom w:val="single" w:color="CCCCCC" w:sz="2"/>
              <w:right w:val="single" w:color="CCCCCC" w:sz="2"/>
            </w:tcBorders>
            <w:tcMar>
              <w:top w:type="dxa" w:w="160"/>
              <w:left w:type="dxa" w:w="240"/>
              <w:bottom w:type="dxa" w:w="160"/>
              <w:right w:type="dxa" w:w="180"/>
            </w:tcMar>
          </w:tcPr>
          <w:p>
            <w:pPr>
              <w:spacing w:before="0" w:after="14"/>
            </w:pPr>
            <w:r>
              <w:rPr>
                <w:rFonts w:ascii="Arial" w:cs="Arial" w:eastAsia="Arial" w:hAnsi="Arial"/>
                <w:b/>
                <w:bCs/>
                <w:color w:val="0A0A0A"/>
                <w:sz w:val="21"/>
                <w:szCs w:val="21"/>
              </w:rPr>
              <w:t xml:space="preserve">Publish blog post 1 — 'NVIDIA NIM Multimodal Platform: Building Across All Six Domains.' Targets the #1 uncontested search query.</w:t>
            </w:r>
          </w:p>
          <w:p>
            <w:pPr>
              <w:spacing w:before="0" w:after="14"/>
            </w:pPr>
            <w:r>
              <w:rPr>
                <w:rFonts w:ascii="Arial" w:cs="Arial" w:eastAsia="Arial" w:hAnsi="Arial"/>
                <w:color w:val="0A0A0A"/>
                <w:sz w:val="21"/>
                <w:szCs w:val="21"/>
              </w:rPr>
              <w:t xml:space="preserve">Record Demo B — Smart Router v2 live routing. Post to LinkedIn: 'One query. Six domains. One router. No configuration.' Link: amaima.live</w:t>
            </w:r>
          </w:p>
          <w:p>
            <w:pPr>
              <w:spacing w:before="0" w:after="14"/>
            </w:pPr>
            <w:r>
              <w:rPr>
                <w:rFonts w:ascii="Arial" w:cs="Arial" w:eastAsia="Arial" w:hAnsi="Arial"/>
                <w:color w:val="0A0A0A"/>
                <w:sz w:val="21"/>
                <w:szCs w:val="21"/>
              </w:rPr>
              <w:t xml:space="preserve">Submit NVIDIA Developer Blog article draft via Developer portal. Reference Inception application in the submission.</w:t>
            </w:r>
          </w:p>
          <w:p>
            <w:pPr>
              <w:spacing w:before="0" w:after="0"/>
            </w:pPr>
            <w:r>
              <w:rPr>
                <w:rFonts w:ascii="Arial" w:cs="Arial" w:eastAsia="Arial" w:hAnsi="Arial"/>
                <w:color w:val="0A0A0A"/>
                <w:sz w:val="21"/>
                <w:szCs w:val="21"/>
              </w:rPr>
              <w:t xml:space="preserve">Post in Hugging Face Community: 'Built 26-model multimodal platform with FHE. Here are the benchmark numbers.' Technical, specific, with API link.</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2"/>
              <w:left w:val="single" w:color="CCCCCC" w:sz="2"/>
              <w:bottom w:val="single" w:color="CCCCCC" w:sz="2"/>
              <w:right w:val="single" w:color="CCCCCC" w:sz="2"/>
            </w:tcBorders>
            <w:shd w:fill="1A0050" w:val="clear"/>
            <w:tcMar>
              <w:top w:type="dxa" w:w="180"/>
              <w:left w:type="dxa" w:w="140"/>
              <w:bottom w:type="dxa" w:w="180"/>
              <w:right w:type="dxa" w:w="140"/>
            </w:tcMar>
          </w:tcPr>
          <w:p>
            <w:pPr>
              <w:jc w:val="center"/>
            </w:pPr>
            <w:r>
              <w:rPr>
                <w:rFonts w:ascii="Arial" w:cs="Arial" w:eastAsia="Arial" w:hAnsi="Arial"/>
                <w:b/>
                <w:bCs/>
                <w:color w:val="FFFFFF"/>
                <w:sz w:val="19"/>
                <w:szCs w:val="19"/>
              </w:rPr>
              <w:t xml:space="preserve">WEEK 3
Mar 8–15</w:t>
            </w:r>
          </w:p>
        </w:tc>
        <w:tc>
          <w:tcPr>
            <w:tcW w:type="dxa" w:w="7920"/>
            <w:tcBorders>
              <w:top w:val="single" w:color="CCCCCC" w:sz="2"/>
              <w:left w:val="single" w:color="CCCCCC" w:sz="2"/>
              <w:bottom w:val="single" w:color="CCCCCC" w:sz="2"/>
              <w:right w:val="single" w:color="CCCCCC" w:sz="2"/>
            </w:tcBorders>
            <w:tcMar>
              <w:top w:type="dxa" w:w="160"/>
              <w:left w:type="dxa" w:w="240"/>
              <w:bottom w:type="dxa" w:w="160"/>
              <w:right w:type="dxa" w:w="180"/>
            </w:tcMar>
          </w:tcPr>
          <w:p>
            <w:pPr>
              <w:spacing w:before="0" w:after="14"/>
            </w:pPr>
            <w:r>
              <w:rPr>
                <w:rFonts w:ascii="Arial" w:cs="Arial" w:eastAsia="Arial" w:hAnsi="Arial"/>
                <w:b/>
                <w:bCs/>
                <w:color w:val="0A0A0A"/>
                <w:sz w:val="21"/>
                <w:szCs w:val="21"/>
              </w:rPr>
              <w:t xml:space="preserve">Register for GTC 2026 — March 16–19, San Jose. Inception members get priority access and NVIDIA team networking sessions.</w:t>
            </w:r>
          </w:p>
          <w:p>
            <w:pPr>
              <w:spacing w:before="0" w:after="14"/>
            </w:pPr>
            <w:r>
              <w:rPr>
                <w:rFonts w:ascii="Arial" w:cs="Arial" w:eastAsia="Arial" w:hAnsi="Arial"/>
                <w:color w:val="0A0A0A"/>
                <w:sz w:val="21"/>
                <w:szCs w:val="21"/>
              </w:rPr>
              <w:t xml:space="preserve">Record and rehearse Demo E — the GTC hallway demo. 2 minutes. Scripted. Practice until effortless. This is the most important 2 minutes of the 90-day plan.</w:t>
            </w:r>
          </w:p>
          <w:p>
            <w:pPr>
              <w:spacing w:before="0" w:after="14"/>
            </w:pPr>
            <w:r>
              <w:rPr>
                <w:rFonts w:ascii="Arial" w:cs="Arial" w:eastAsia="Arial" w:hAnsi="Arial"/>
                <w:color w:val="0A0A0A"/>
                <w:sz w:val="21"/>
                <w:szCs w:val="21"/>
              </w:rPr>
              <w:t xml:space="preserve">Publish blog post 2 — 'Encrypted Drug Discovery with FHE and NVIDIA BioNeMo.' Targets biopharma queries. Include code. Include live API call examples.</w:t>
            </w:r>
          </w:p>
          <w:p>
            <w:pPr>
              <w:spacing w:before="0" w:after="0"/>
            </w:pPr>
            <w:r>
              <w:rPr>
                <w:rFonts w:ascii="Arial" w:cs="Arial" w:eastAsia="Arial" w:hAnsi="Arial"/>
                <w:color w:val="0A0A0A"/>
                <w:sz w:val="21"/>
                <w:szCs w:val="21"/>
              </w:rPr>
              <w:t xml:space="preserve">Submit to bioRxiv — 'Encrypted Molecular Generation: AlphaFold2 + DiffDock on Ciphertext.' Establishes academic citation before DARPA conversations.</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2"/>
              <w:left w:val="single" w:color="CCCCCC" w:sz="2"/>
              <w:bottom w:val="single" w:color="CCCCCC" w:sz="2"/>
              <w:right w:val="single" w:color="CCCCCC" w:sz="2"/>
            </w:tcBorders>
            <w:shd w:fill="1B5E20" w:val="clear"/>
            <w:tcMar>
              <w:top w:type="dxa" w:w="180"/>
              <w:left w:type="dxa" w:w="140"/>
              <w:bottom w:type="dxa" w:w="180"/>
              <w:right w:type="dxa" w:w="140"/>
            </w:tcMar>
          </w:tcPr>
          <w:p>
            <w:pPr>
              <w:jc w:val="center"/>
            </w:pPr>
            <w:r>
              <w:rPr>
                <w:rFonts w:ascii="Arial" w:cs="Arial" w:eastAsia="Arial" w:hAnsi="Arial"/>
                <w:b/>
                <w:bCs/>
                <w:color w:val="FFFFFF"/>
                <w:sz w:val="19"/>
                <w:szCs w:val="19"/>
              </w:rPr>
              <w:t xml:space="preserve">WEEK 4
Mar 16–19</w:t>
            </w:r>
          </w:p>
        </w:tc>
        <w:tc>
          <w:tcPr>
            <w:tcW w:type="dxa" w:w="7920"/>
            <w:tcBorders>
              <w:top w:val="single" w:color="CCCCCC" w:sz="2"/>
              <w:left w:val="single" w:color="CCCCCC" w:sz="2"/>
              <w:bottom w:val="single" w:color="CCCCCC" w:sz="2"/>
              <w:right w:val="single" w:color="CCCCCC" w:sz="2"/>
            </w:tcBorders>
            <w:tcMar>
              <w:top w:type="dxa" w:w="160"/>
              <w:left w:type="dxa" w:w="240"/>
              <w:bottom w:type="dxa" w:w="160"/>
              <w:right w:type="dxa" w:w="180"/>
            </w:tcMar>
          </w:tcPr>
          <w:p>
            <w:pPr>
              <w:spacing w:before="0" w:after="14"/>
            </w:pPr>
            <w:r>
              <w:rPr>
                <w:rFonts w:ascii="Arial" w:cs="Arial" w:eastAsia="Arial" w:hAnsi="Arial"/>
                <w:b/>
                <w:bCs/>
                <w:color w:val="0A0A0A"/>
                <w:sz w:val="21"/>
                <w:szCs w:val="21"/>
              </w:rPr>
              <w:t xml:space="preserve">GTC. Laptop open. amaima.live ready. Demo E loaded. One printed FHE Enterprise one-pager per conversation.</w:t>
            </w:r>
          </w:p>
          <w:p>
            <w:pPr>
              <w:spacing w:before="0" w:after="14"/>
            </w:pPr>
            <w:r>
              <w:rPr>
                <w:rFonts w:ascii="Arial" w:cs="Arial" w:eastAsia="Arial" w:hAnsi="Arial"/>
                <w:color w:val="0A0A0A"/>
                <w:sz w:val="21"/>
                <w:szCs w:val="21"/>
              </w:rPr>
              <w:t xml:space="preserve">Priority targets: Jeff Herbst (NVentures — invested in Skild AI, which does one of AMAIMA's seven things). BioNeMo team. Riva team. GR00T team. SoftBank.</w:t>
            </w:r>
          </w:p>
          <w:p>
            <w:pPr>
              <w:spacing w:before="0" w:after="14"/>
            </w:pPr>
            <w:r>
              <w:rPr>
                <w:rFonts w:ascii="Arial" w:cs="Arial" w:eastAsia="Arial" w:hAnsi="Arial"/>
                <w:color w:val="0A0A0A"/>
                <w:sz w:val="21"/>
                <w:szCs w:val="21"/>
              </w:rPr>
              <w:t xml:space="preserve">Post from GTC daily on X — not 'I'm at GTC' but live observations tied to AMAIMA: 'NVIDIA just showed [X]. AMAIMA has been running [X] since [date]. amaima.live'</w:t>
            </w:r>
          </w:p>
          <w:p>
            <w:pPr>
              <w:spacing w:before="0" w:after="0"/>
            </w:pPr>
            <w:r>
              <w:rPr>
                <w:rFonts w:ascii="Arial" w:cs="Arial" w:eastAsia="Arial" w:hAnsi="Arial"/>
                <w:color w:val="0A0A0A"/>
                <w:sz w:val="21"/>
                <w:szCs w:val="21"/>
              </w:rPr>
              <w:t xml:space="preserve">Every conversation ends with: amaima.live/fhe. Nothing else. The URL does the rest.</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2"/>
              <w:left w:val="single" w:color="CCCCCC" w:sz="2"/>
              <w:bottom w:val="single" w:color="CCCCCC" w:sz="2"/>
              <w:right w:val="single" w:color="CCCCCC" w:sz="2"/>
            </w:tcBorders>
            <w:shd w:fill="BF360C" w:val="clear"/>
            <w:tcMar>
              <w:top w:type="dxa" w:w="180"/>
              <w:left w:type="dxa" w:w="140"/>
              <w:bottom w:type="dxa" w:w="180"/>
              <w:right w:type="dxa" w:w="140"/>
            </w:tcMar>
          </w:tcPr>
          <w:p>
            <w:pPr>
              <w:jc w:val="center"/>
            </w:pPr>
            <w:r>
              <w:rPr>
                <w:rFonts w:ascii="Arial" w:cs="Arial" w:eastAsia="Arial" w:hAnsi="Arial"/>
                <w:b/>
                <w:bCs/>
                <w:color w:val="FFFFFF"/>
                <w:sz w:val="19"/>
                <w:szCs w:val="19"/>
              </w:rPr>
              <w:t xml:space="preserve">WKS 5–8
Mar 20–Apr 17</w:t>
            </w:r>
          </w:p>
        </w:tc>
        <w:tc>
          <w:tcPr>
            <w:tcW w:type="dxa" w:w="7920"/>
            <w:tcBorders>
              <w:top w:val="single" w:color="CCCCCC" w:sz="2"/>
              <w:left w:val="single" w:color="CCCCCC" w:sz="2"/>
              <w:bottom w:val="single" w:color="CCCCCC" w:sz="2"/>
              <w:right w:val="single" w:color="CCCCCC" w:sz="2"/>
            </w:tcBorders>
            <w:tcMar>
              <w:top w:type="dxa" w:w="160"/>
              <w:left w:type="dxa" w:w="240"/>
              <w:bottom w:type="dxa" w:w="160"/>
              <w:right w:type="dxa" w:w="180"/>
            </w:tcMar>
          </w:tcPr>
          <w:p>
            <w:pPr>
              <w:spacing w:before="0" w:after="14"/>
            </w:pPr>
            <w:r>
              <w:rPr>
                <w:rFonts w:ascii="Arial" w:cs="Arial" w:eastAsia="Arial" w:hAnsi="Arial"/>
                <w:b/>
                <w:bCs/>
                <w:color w:val="0A0A0A"/>
                <w:sz w:val="21"/>
                <w:szCs w:val="21"/>
              </w:rPr>
              <w:t xml:space="preserve">Healthcare CISO outreach — one targeted conversation per week using the HIPAA-by-architecture pitch. Goal: one pilot per month.</w:t>
            </w:r>
          </w:p>
          <w:p>
            <w:pPr>
              <w:spacing w:before="0" w:after="14"/>
            </w:pPr>
            <w:r>
              <w:rPr>
                <w:rFonts w:ascii="Arial" w:cs="Arial" w:eastAsia="Arial" w:hAnsi="Arial"/>
                <w:color w:val="0A0A0A"/>
                <w:sz w:val="21"/>
                <w:szCs w:val="21"/>
              </w:rPr>
              <w:t xml:space="preserve">Submit DARPA TTO executive summary — April 17 deadline. Zero-trust autonomy framing with FHE encrypted sensor coordination as headline.</w:t>
            </w:r>
          </w:p>
          <w:p>
            <w:pPr>
              <w:spacing w:before="0" w:after="14"/>
            </w:pPr>
            <w:r>
              <w:rPr>
                <w:rFonts w:ascii="Arial" w:cs="Arial" w:eastAsia="Arial" w:hAnsi="Arial"/>
                <w:color w:val="0A0A0A"/>
                <w:sz w:val="21"/>
                <w:szCs w:val="21"/>
              </w:rPr>
              <w:t xml:space="preserve">Publish blog post 3 — 'Zero-Trust AI: FHE Workflow Nodes in the AMAIMA Agent Builder.' Targets enterprise security search queries and CISO LinkedIn audience.</w:t>
            </w:r>
          </w:p>
          <w:p>
            <w:pPr>
              <w:spacing w:before="0" w:after="0"/>
            </w:pPr>
            <w:r>
              <w:rPr>
                <w:rFonts w:ascii="Arial" w:cs="Arial" w:eastAsia="Arial" w:hAnsi="Arial"/>
                <w:color w:val="0A0A0A"/>
                <w:sz w:val="21"/>
                <w:szCs w:val="21"/>
              </w:rPr>
              <w:t xml:space="preserve">Publish Demo D — '5 Lines of Python to FHE' — on YouTube and Hugging Face Spaces. Developer community compounds from here.</w:t>
            </w:r>
          </w:p>
        </w:tc>
      </w:tr>
    </w:tbl>
    <w:p>
      <w:pPr>
        <w:spacing w:before="16"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2"/>
              <w:left w:val="single" w:color="CCCCCC" w:sz="2"/>
              <w:bottom w:val="single" w:color="CCCCCC" w:sz="2"/>
              <w:right w:val="single" w:color="CCCCCC" w:sz="2"/>
            </w:tcBorders>
            <w:shd w:fill="1A0050" w:val="clear"/>
            <w:tcMar>
              <w:top w:type="dxa" w:w="180"/>
              <w:left w:type="dxa" w:w="140"/>
              <w:bottom w:type="dxa" w:w="180"/>
              <w:right w:type="dxa" w:w="140"/>
            </w:tcMar>
          </w:tcPr>
          <w:p>
            <w:pPr>
              <w:jc w:val="center"/>
            </w:pPr>
            <w:r>
              <w:rPr>
                <w:rFonts w:ascii="Arial" w:cs="Arial" w:eastAsia="Arial" w:hAnsi="Arial"/>
                <w:b/>
                <w:bCs/>
                <w:color w:val="FFFFFF"/>
                <w:sz w:val="19"/>
                <w:szCs w:val="19"/>
              </w:rPr>
              <w:t xml:space="preserve">WKS 9–13
Apr 18–May 21</w:t>
            </w:r>
          </w:p>
        </w:tc>
        <w:tc>
          <w:tcPr>
            <w:tcW w:type="dxa" w:w="7920"/>
            <w:tcBorders>
              <w:top w:val="single" w:color="CCCCCC" w:sz="2"/>
              <w:left w:val="single" w:color="CCCCCC" w:sz="2"/>
              <w:bottom w:val="single" w:color="CCCCCC" w:sz="2"/>
              <w:right w:val="single" w:color="CCCCCC" w:sz="2"/>
            </w:tcBorders>
            <w:tcMar>
              <w:top w:type="dxa" w:w="160"/>
              <w:left w:type="dxa" w:w="240"/>
              <w:bottom w:type="dxa" w:w="160"/>
              <w:right w:type="dxa" w:w="180"/>
            </w:tcMar>
          </w:tcPr>
          <w:p>
            <w:pPr>
              <w:spacing w:before="0" w:after="14"/>
            </w:pPr>
            <w:r>
              <w:rPr>
                <w:rFonts w:ascii="Arial" w:cs="Arial" w:eastAsia="Arial" w:hAnsi="Arial"/>
                <w:b/>
                <w:bCs/>
                <w:color w:val="0A0A0A"/>
                <w:sz w:val="21"/>
                <w:szCs w:val="21"/>
              </w:rPr>
              <w:t xml:space="preserve">Target: first paying customer — $299/month Enterprise tier. One biopharma pilot or one healthcare system. This changes every conversation that follows.</w:t>
            </w:r>
          </w:p>
          <w:p>
            <w:pPr>
              <w:spacing w:before="0" w:after="14"/>
            </w:pPr>
            <w:r>
              <w:rPr>
                <w:rFonts w:ascii="Arial" w:cs="Arial" w:eastAsia="Arial" w:hAnsi="Arial"/>
                <w:color w:val="0A0A0A"/>
                <w:sz w:val="21"/>
                <w:szCs w:val="21"/>
              </w:rPr>
              <w:t xml:space="preserve">Submit USSOCOM Joint Autonomy grant — May 15 deadline. FHE encrypted swarm coordination framing.</w:t>
            </w:r>
          </w:p>
          <w:p>
            <w:pPr>
              <w:spacing w:before="0" w:after="14"/>
            </w:pPr>
            <w:r>
              <w:rPr>
                <w:rFonts w:ascii="Arial" w:cs="Arial" w:eastAsia="Arial" w:hAnsi="Arial"/>
                <w:color w:val="0A0A0A"/>
                <w:sz w:val="21"/>
                <w:szCs w:val="21"/>
              </w:rPr>
              <w:t xml:space="preserve">Prepare Republic Reg CF campaign. Narrative hook: 'The AI OS that cannot read your data just signed its first enterprise customer.' The campaign that circulates itself.</w:t>
            </w:r>
          </w:p>
          <w:p>
            <w:pPr>
              <w:spacing w:before="0" w:after="0"/>
            </w:pPr>
            <w:r>
              <w:rPr>
                <w:rFonts w:ascii="Arial" w:cs="Arial" w:eastAsia="Arial" w:hAnsi="Arial"/>
                <w:color w:val="0A0A0A"/>
                <w:sz w:val="21"/>
                <w:szCs w:val="21"/>
              </w:rPr>
              <w:t xml:space="preserve">Submit to arXiv cs.CR — 'Practical FHE Inference on Multimodal AI Platforms.' Academic citation established before DARPA BTO September deadline.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200"/>
              <w:left w:type="dxa" w:w="320"/>
              <w:bottom w:type="dxa" w:w="200"/>
              <w:right w:type="dxa" w:w="320"/>
            </w:tcMar>
          </w:tcPr>
          <w:p>
            <w:pPr>
              <w:spacing w:before="0" w:after="40"/>
            </w:pPr>
            <w:r>
              <w:rPr>
                <w:rFonts w:ascii="Arial" w:cs="Arial" w:eastAsia="Arial" w:hAnsi="Arial"/>
                <w:b/>
                <w:bCs/>
                <w:caps/>
                <w:color w:val="888888"/>
                <w:sz w:val="17"/>
                <w:szCs w:val="17"/>
              </w:rPr>
              <w:t xml:space="preserve">THE COMPOUNDING EFFECT</w:t>
            </w:r>
          </w:p>
          <w:p>
            <w:pPr>
              <w:spacing w:before="0" w:after="36"/>
            </w:pPr>
            <w:r>
              <w:rPr>
                <w:rFonts w:ascii="Arial" w:cs="Arial" w:eastAsia="Arial" w:hAnsi="Arial"/>
                <w:b/>
                <w:bCs/>
                <w:color w:val="FFFFFF"/>
                <w:sz w:val="28"/>
                <w:szCs w:val="28"/>
              </w:rPr>
              <w:t xml:space="preserve">Week 1: One post. One demo. The platform becomes visible to 100 people who matter.</w:t>
            </w:r>
          </w:p>
          <w:p>
            <w:pPr>
              <w:spacing w:before="0" w:after="28"/>
            </w:pPr>
            <w:r>
              <w:rPr>
                <w:rFonts w:ascii="Arial" w:cs="Arial" w:eastAsia="Arial" w:hAnsi="Arial"/>
                <w:color w:val="BBBBBB"/>
                <w:sz w:val="22"/>
                <w:szCs w:val="22"/>
              </w:rPr>
              <w:t xml:space="preserve">Week 4: The NVIDIA Developer Blog article publishes. 10,000 NVIDIA customers see it. NVentures flags it. Two inbound meeting requests arrive without a single cold email.</w:t>
            </w:r>
          </w:p>
          <w:p>
            <w:pPr>
              <w:spacing w:before="0" w:after="28"/>
            </w:pPr>
            <w:r>
              <w:rPr>
                <w:rFonts w:ascii="Arial" w:cs="Arial" w:eastAsia="Arial" w:hAnsi="Arial"/>
                <w:color w:val="BBBBBB"/>
                <w:sz w:val="22"/>
                <w:szCs w:val="22"/>
              </w:rPr>
              <w:t xml:space="preserve">Week 8: A pharma researcher finds the bioRxiv preprint searching for AlphaFold2 FHE tools. They email asking for an enterprise trial.</w:t>
            </w:r>
          </w:p>
          <w:p>
            <w:pPr>
              <w:spacing w:before="0" w:after="28"/>
            </w:pPr>
            <w:r>
              <w:rPr>
                <w:rFonts w:ascii="Arial" w:cs="Arial" w:eastAsia="Arial" w:hAnsi="Arial"/>
                <w:color w:val="BBBBBB"/>
                <w:sz w:val="22"/>
                <w:szCs w:val="22"/>
              </w:rPr>
              <w:t xml:space="preserve">Week 13: The Republic campaign launches with a live customer, a DARPA submission, an arXiv paper, and an NVIDIA blog feature. The campaign fills in 48 hours.</w:t>
            </w:r>
          </w:p>
          <w:p>
            <w:pPr>
              <w:spacing w:before="0" w:after="0"/>
            </w:pPr>
            <w:r>
              <w:rPr>
                <w:rFonts w:ascii="Arial" w:cs="Arial" w:eastAsia="Arial" w:hAnsi="Arial"/>
                <w:color w:val="BBBBBB"/>
                <w:sz w:val="22"/>
                <w:szCs w:val="22"/>
              </w:rPr>
              <w:t xml:space="preserve">None of this required chasing. Every piece required building something worth finding — which is already done — and making it visible in the right places.</w:t>
            </w:r>
          </w:p>
        </w:tc>
      </w:tr>
    </w:tbl>
    <w:p>
      <w:pPr>
        <w:spacing w:before="80" w:after="0"/>
      </w:pPr>
      <w:r>
        <w:t xml:space="preserve"/>
      </w:r>
    </w:p>
    <w:p>
      <w:pPr>
        <w:pBdr>
          <w:bottom w:val="single" w:color="0A0A0A" w:sz="20" w:space="1"/>
        </w:pBdr>
        <w:spacing w:before="180" w:after="180"/>
      </w:pPr>
      <w:r>
        <w:t xml:space="preserve"/>
      </w:r>
    </w:p>
    <w:p>
      <w:pPr>
        <w:spacing w:before="0" w:after="0"/>
      </w:pPr>
      <w:r>
        <w:rPr>
          <w:rFonts w:ascii="Arial" w:cs="Arial" w:eastAsia="Arial" w:hAnsi="Arial"/>
          <w:b/>
          <w:bCs/>
          <w:color w:val="0A0A0A"/>
          <w:sz w:val="56"/>
          <w:szCs w:val="56"/>
        </w:rPr>
        <w:t xml:space="preserve">AMAIMA</w:t>
      </w:r>
    </w:p>
    <w:p>
      <w:pPr>
        <w:spacing w:before="20" w:after="0"/>
      </w:pPr>
      <w:r>
        <w:t xml:space="preserve"/>
      </w:r>
    </w:p>
    <w:p>
      <w:pPr>
        <w:spacing w:before="0" w:after="12"/>
      </w:pPr>
      <w:r>
        <w:rPr>
          <w:rFonts w:ascii="Arial" w:cs="Arial" w:eastAsia="Arial" w:hAnsi="Arial"/>
          <w:i/>
          <w:iCs/>
          <w:color w:val="888888"/>
          <w:sz w:val="24"/>
          <w:szCs w:val="24"/>
        </w:rPr>
        <w:t xml:space="preserve">The platform is built. The URL is live. The gravity is real.</w:t>
      </w:r>
    </w:p>
    <w:p>
      <w:pPr>
        <w:spacing w:before="0" w:after="0"/>
      </w:pPr>
      <w:r>
        <w:rPr>
          <w:rFonts w:ascii="Arial" w:cs="Arial" w:eastAsia="Arial" w:hAnsi="Arial"/>
          <w:color w:val="888888"/>
          <w:sz w:val="20"/>
          <w:szCs w:val="20"/>
        </w:rPr>
        <w:t xml:space="preserve">amaima.live  ·  amaima.live/fhe  ·  amaima.live/agent-builder  ·  github.com/CreoDAMO/AMAIMA</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7"/>
        <w:szCs w:val="17"/>
      </w:rPr>
      <w:t xml:space="preserve">AMAIMA — Gravity Over Outreach  |  amaima.live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rPr>
          <w:rFonts w:ascii="Arial" w:cs="Arial" w:eastAsia="Arial" w:hAnsi="Arial"/>
          <w:color w:val="BF360C"/>
        </w:rPr>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Arial" w:cs="Arial" w:eastAsia="Arial" w:hAnsi="Arial"/>
      <w:b/>
      <w:bCs/>
      <w:color w:val="0A0A0A"/>
      <w:sz w:val="44"/>
      <w:szCs w:val="44"/>
    </w:rPr>
  </w:style>
  <w:style w:type="paragraph" w:styleId="Heading2">
    <w:name w:val="Heading 2"/>
    <w:basedOn w:val="Normal"/>
    <w:next w:val="Normal"/>
    <w:qFormat/>
    <w:pPr>
      <w:spacing w:before="360" w:after="120"/>
      <w:outlineLvl w:val="1"/>
    </w:pPr>
    <w:rPr>
      <w:rFonts w:ascii="Arial" w:cs="Arial" w:eastAsia="Arial" w:hAnsi="Arial"/>
      <w:b/>
      <w:bCs/>
      <w:color w:val="0A0A0A"/>
      <w:sz w:val="30"/>
      <w:szCs w:val="30"/>
    </w:rPr>
  </w:style>
  <w:style w:type="paragraph" w:styleId="Heading3">
    <w:name w:val="Heading 3"/>
    <w:basedOn w:val="Normal"/>
    <w:next w:val="Normal"/>
    <w:qFormat/>
    <w:pPr>
      <w:spacing w:before="240" w:after="8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2026-02-21T16:02:56.900Z</dcterms:created>
  <dcterms:modified xsi:type="dcterms:W3CDTF">2026-02-21T16:02:56.901Z</dcterms:modified>
</cp:coreProperties>
</file>

<file path=docProps/custom.xml><?xml version="1.0" encoding="utf-8"?>
<Properties xmlns="http://schemas.openxmlformats.org/officeDocument/2006/custom-properties" xmlns:vt="http://schemas.openxmlformats.org/officeDocument/2006/docPropsVTypes"/>
</file>