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AF6" w:val="clear"/>
            <w:tcMar>
              <w:top w:type="dxa" w:w="200"/>
              <w:left w:type="dxa" w:w="320"/>
              <w:bottom w:type="dxa" w:w="200"/>
              <w:right w:type="dxa" w:w="320"/>
            </w:tcMar>
          </w:tcPr>
          <w:p>
            <w:pPr>
              <w:spacing w:before="0" w:after="16"/>
            </w:pPr>
            <w:r>
              <w:rPr>
                <w:rFonts w:ascii="Arial" w:cs="Arial" w:eastAsia="Arial" w:hAnsi="Arial"/>
                <w:b/>
                <w:bCs/>
                <w:caps/>
                <w:color w:val="1A237E"/>
                <w:sz w:val="17"/>
                <w:szCs w:val="17"/>
              </w:rPr>
              <w:t xml:space="preserve">NVIDIA DEVELOPER BLOG — ARTICLE SUBMISSION</w:t>
            </w:r>
          </w:p>
          <w:p>
            <w:pPr>
              <w:spacing w:before="0" w:after="12"/>
            </w:pPr>
            <w:r>
              <w:rPr>
                <w:rFonts w:ascii="Arial" w:cs="Arial" w:eastAsia="Arial" w:hAnsi="Arial"/>
                <w:color w:val="0A0A0A"/>
                <w:sz w:val="20"/>
                <w:szCs w:val="20"/>
              </w:rPr>
              <w:t xml:space="preserve">Author: Jacque Antoine DeGraff  |  NVIDIA Developer Member  |  AMAIMA  |  amaima.live</w:t>
            </w:r>
          </w:p>
          <w:p>
            <w:pPr>
              <w:spacing w:before="0" w:after="12"/>
            </w:pPr>
            <w:r>
              <w:rPr>
                <w:rFonts w:ascii="Arial" w:cs="Arial" w:eastAsia="Arial" w:hAnsi="Arial"/>
                <w:color w:val="0A0A0A"/>
                <w:sz w:val="20"/>
                <w:szCs w:val="20"/>
              </w:rPr>
              <w:t xml:space="preserve">Categories: NVIDIA NIM · Multi-Domain AI · FHE · Robotics · Biology · Smart Routing · Agentic AI</w:t>
            </w:r>
          </w:p>
          <w:p>
            <w:pPr>
              <w:spacing w:before="0" w:after="12"/>
            </w:pPr>
            <w:r>
              <w:rPr>
                <w:rFonts w:ascii="Arial" w:cs="Arial" w:eastAsia="Arial" w:hAnsi="Arial"/>
                <w:color w:val="1A237E"/>
                <w:sz w:val="20"/>
                <w:szCs w:val="20"/>
              </w:rPr>
              <w:t xml:space="preserve">GitHub: github.com/CreoDAMO/AMAIMA  |  Live Demo: amaima.live  |  FHE Demo: amaima.live/fhe</w:t>
            </w:r>
          </w:p>
          <w:p>
            <w:pPr>
              <w:spacing w:before="0" w:after="0"/>
            </w:pPr>
            <w:r>
              <w:rPr>
                <w:rFonts w:ascii="Arial" w:cs="Arial" w:eastAsia="Arial" w:hAnsi="Arial"/>
                <w:color w:val="777777"/>
                <w:sz w:val="19"/>
                <w:szCs w:val="19"/>
              </w:rPr>
              <w:t xml:space="preserve">Word count: ~2,400 words  |  Code examples: 6  |  Benchmark data: Yes  |  Status: Ready to submit</w:t>
            </w:r>
          </w:p>
        </w:tc>
      </w:tr>
    </w:tbl>
    <w:p>
      <w:pPr>
        <w:spacing w:before="80" w:after="0"/>
      </w:pPr>
      <w:r>
        <w:t xml:space="preserve"/>
      </w:r>
    </w:p>
    <w:p>
      <w:pPr>
        <w:spacing w:before="40" w:after="20"/>
      </w:pPr>
      <w:r>
        <w:rPr>
          <w:rFonts w:ascii="Arial" w:cs="Arial" w:eastAsia="Arial" w:hAnsi="Arial"/>
          <w:b/>
          <w:bCs/>
          <w:color w:val="0A0A0A"/>
          <w:sz w:val="56"/>
          <w:szCs w:val="56"/>
        </w:rPr>
        <w:t xml:space="preserve">One Developer. 26 NIM Models. One Live Platform.</w:t>
      </w:r>
    </w:p>
    <w:p>
      <w:pPr>
        <w:spacing w:before="0" w:after="20"/>
      </w:pPr>
      <w:r>
        <w:rPr>
          <w:rFonts w:ascii="Arial" w:cs="Arial" w:eastAsia="Arial" w:hAnsi="Arial"/>
          <w:b/>
          <w:bCs/>
          <w:color w:val="1A237E"/>
          <w:sz w:val="40"/>
          <w:szCs w:val="40"/>
        </w:rPr>
        <w:t xml:space="preserve">Building the Reference Implementation of NVIDIA's Physical AI Stack.</w:t>
      </w:r>
    </w:p>
    <w:p>
      <w:pPr>
        <w:spacing w:before="20" w:after="0"/>
      </w:pPr>
      <w:r>
        <w:t xml:space="preserve"/>
      </w:r>
    </w:p>
    <w:p>
      <w:pPr>
        <w:spacing w:before="0" w:after="60"/>
      </w:pPr>
      <w:r>
        <w:rPr>
          <w:rFonts w:ascii="Arial" w:cs="Arial" w:eastAsia="Arial" w:hAnsi="Arial"/>
          <w:color w:val="777777"/>
          <w:sz w:val="20"/>
          <w:szCs w:val="20"/>
        </w:rPr>
        <w:t xml:space="preserve">By Jacque Antoine DeGraff  ·  February 2026  ·  amaima.live</w:t>
      </w:r>
    </w:p>
    <w:p>
      <w:pPr>
        <w:pBdr>
          <w:bottom w:val="single" w:color="1A237E" w:sz="8"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AF6" w:val="clear"/>
            <w:tcMar>
              <w:top w:type="dxa" w:w="200"/>
              <w:left w:type="dxa" w:w="320"/>
              <w:bottom w:type="dxa" w:w="200"/>
              <w:right w:type="dxa" w:w="320"/>
            </w:tcMar>
          </w:tcPr>
          <w:p>
            <w:pPr>
              <w:spacing w:before="0" w:after="20"/>
            </w:pPr>
            <w:r>
              <w:rPr>
                <w:rFonts w:ascii="Arial" w:cs="Arial" w:eastAsia="Arial" w:hAnsi="Arial"/>
                <w:b/>
                <w:bCs/>
                <w:caps/>
                <w:color w:val="1A237E"/>
                <w:sz w:val="19"/>
                <w:szCs w:val="19"/>
              </w:rPr>
              <w:t xml:space="preserve">ABSTRACT</w:t>
            </w:r>
          </w:p>
          <w:p>
            <w:pPr>
              <w:spacing w:before="0" w:after="0"/>
            </w:pPr>
            <w:r>
              <w:rPr>
                <w:rFonts w:ascii="Arial" w:cs="Arial" w:eastAsia="Arial" w:hAnsi="Arial"/>
                <w:color w:val="0A0A0A"/>
                <w:sz w:val="22"/>
                <w:szCs w:val="22"/>
              </w:rPr>
              <w:t xml:space="preserve">AMAIMA (Advanced Model-Aware AI Management Interface) is a production-deployed, multimodal AI operating system integrating 26 NVIDIA NIM models across six domains — Speech, Robotics, Biology, Vision, Embeddings, and General LLMs — plus a complete Fully Homomorphic Encryption subsystem built on Microsoft SEAL via TenSEAL. Built by a single developer in under 90 days, it runs live at amaima.live. This article describes the architecture decisions, integration patterns, routing strategy, and FHE implementation that make simultaneous multi-domain NIM deployment practical at production scale.</w:t>
            </w:r>
          </w:p>
        </w:tc>
      </w:tr>
    </w:tbl>
    <w:p>
      <w:pPr>
        <w:spacing w:before="80" w:after="0"/>
      </w:pPr>
      <w:r>
        <w:t xml:space="preserve"/>
      </w:r>
    </w:p>
    <w:p>
      <w:pPr>
        <w:pStyle w:val="Heading1"/>
        <w:spacing w:before="480" w:after="160"/>
      </w:pPr>
      <w:r>
        <w:rPr>
          <w:rFonts w:ascii="Arial" w:cs="Arial" w:eastAsia="Arial" w:hAnsi="Arial"/>
          <w:b/>
          <w:bCs/>
          <w:color w:val="0A0A0A"/>
          <w:sz w:val="40"/>
          <w:szCs w:val="40"/>
        </w:rPr>
        <w:t xml:space="preserve">The Question Nobody Was Asking</w:t>
      </w:r>
    </w:p>
    <w:p>
      <w:pPr>
        <w:spacing w:before="80" w:after="100"/>
      </w:pPr>
      <w:r>
        <w:rPr>
          <w:rFonts w:ascii="Arial" w:cs="Arial" w:eastAsia="Arial" w:hAnsi="Arial"/>
          <w:i/>
          <w:iCs/>
          <w:color w:val="0A0A0A"/>
          <w:sz w:val="26"/>
          <w:szCs w:val="26"/>
        </w:rPr>
        <w:t xml:space="preserve">What happens when you run all of NVIDIA's NIM domains simultaneously — not as separate services, not as a portfolio of demos, but as one unified system with a single API, a single billing layer, and a single router that knows where every query belongs?</w:t>
      </w:r>
    </w:p>
    <w:p>
      <w:pPr>
        <w:spacing w:before="40" w:after="0"/>
      </w:pPr>
      <w:r>
        <w:t xml:space="preserve"/>
      </w:r>
    </w:p>
    <w:p>
      <w:pPr>
        <w:spacing w:before="80" w:after="80"/>
      </w:pPr>
      <w:r>
        <w:rPr>
          <w:rFonts w:ascii="Arial" w:cs="Arial" w:eastAsia="Arial" w:hAnsi="Arial"/>
          <w:color w:val="0A0A0A"/>
          <w:sz w:val="23"/>
          <w:szCs w:val="23"/>
        </w:rPr>
        <w:t xml:space="preserve">I spent 90 days finding out. The result is AMAIMA — a platform running 26 NIM models across Speech (Riva Parakeet ASR, Riva Magpie TTS), Robotics (GR00T-2, Isaac Manipulator, VILA, Cosmos Reason2), Biology (GenMol, DiffDock, AlphaFold2, ESM2, MegaMolBART), Vision (Llama 3.2 Vision, Cosmos Reason2, VILA, NV-Embed Multimodal), Embeddings (NV-Embed-QA, NeMo 2048-dim), and General LLMs (Llama 3.1 8B/70B/405B, Mixtral 8x7B/8x22B, Gemma 2 9B, Nemotron Nano 4B v2). Plus a complete FHE layer. All confirmed live at amaima.live as of February 19, 2026.</w:t>
      </w:r>
    </w:p>
    <w:p>
      <w:pPr>
        <w:spacing w:before="40" w:after="0"/>
      </w:pPr>
      <w:r>
        <w:t xml:space="preserve"/>
      </w:r>
    </w:p>
    <w:p>
      <w:pPr>
        <w:spacing w:before="80" w:after="80"/>
      </w:pPr>
      <w:r>
        <w:rPr>
          <w:rFonts w:ascii="Arial" w:cs="Arial" w:eastAsia="Arial" w:hAnsi="Arial"/>
          <w:color w:val="0A0A0A"/>
          <w:sz w:val="23"/>
          <w:szCs w:val="23"/>
        </w:rPr>
        <w:t xml:space="preserve">This is not a research prototype. Every model listed above is queryable via REST API right now. The FHE dashboard at amaima.live/fhe shows encrypted computation in real time. The agent builder at amaima.live/agent-builder connects any combination of these 26 models into a visual workflow — including 7 FHE privacy nodes.</w:t>
      </w:r>
    </w:p>
    <w:p>
      <w:pPr>
        <w:spacing w:before="40" w:after="0"/>
      </w:pPr>
      <w:r>
        <w:t xml:space="preserve"/>
      </w:r>
    </w:p>
    <w:p>
      <w:pPr>
        <w:spacing w:before="80" w:after="80"/>
      </w:pPr>
      <w:r>
        <w:rPr>
          <w:rFonts w:ascii="Arial" w:cs="Arial" w:eastAsia="Arial" w:hAnsi="Arial"/>
          <w:color w:val="0A0A0A"/>
          <w:sz w:val="23"/>
          <w:szCs w:val="23"/>
        </w:rPr>
        <w:t xml:space="preserve">What follows is what I actually learned building it — the architecture decisions that made it work, the problems nobody warned me about, and the specific patterns that made 26 NIM models coexist in one production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DDDDD" w:sz="2"/>
              <w:left w:val="single" w:color="DDDDDD" w:sz="2"/>
              <w:bottom w:val="single" w:color="DDDDDD" w:sz="2"/>
              <w:right w:val="single" w:color="DDDDDD" w:sz="2"/>
            </w:tcBorders>
            <w:shd w:fill="E8EAF6" w:val="clear"/>
            <w:tcMar>
              <w:top w:type="dxa" w:w="160"/>
              <w:left w:type="dxa" w:w="180"/>
              <w:bottom w:type="dxa" w:w="160"/>
              <w:right w:type="dxa" w:w="180"/>
            </w:tcMar>
          </w:tcPr>
          <w:p>
            <w:pPr>
              <w:spacing w:before="0" w:after="8"/>
              <w:jc w:val="center"/>
            </w:pPr>
            <w:r>
              <w:rPr>
                <w:rFonts w:ascii="Arial" w:cs="Arial" w:eastAsia="Arial" w:hAnsi="Arial"/>
                <w:b/>
                <w:bCs/>
                <w:color w:val="1A237E"/>
                <w:sz w:val="40"/>
                <w:szCs w:val="40"/>
              </w:rPr>
              <w:t xml:space="preserve">26</w:t>
            </w:r>
          </w:p>
          <w:p>
            <w:pPr>
              <w:spacing w:before="0" w:after="8"/>
              <w:jc w:val="center"/>
            </w:pPr>
            <w:r>
              <w:rPr>
                <w:rFonts w:ascii="Arial" w:cs="Arial" w:eastAsia="Arial" w:hAnsi="Arial"/>
                <w:b/>
                <w:bCs/>
                <w:color w:val="0A0A0A"/>
                <w:sz w:val="19"/>
                <w:szCs w:val="19"/>
              </w:rPr>
              <w:t xml:space="preserve">NIM Models</w:t>
            </w:r>
          </w:p>
          <w:p>
            <w:pPr>
              <w:spacing w:before="0" w:after="0"/>
              <w:jc w:val="center"/>
            </w:pPr>
            <w:r>
              <w:rPr>
                <w:rFonts w:ascii="Arial" w:cs="Arial" w:eastAsia="Arial" w:hAnsi="Arial"/>
                <w:color w:val="777777"/>
                <w:sz w:val="17"/>
                <w:szCs w:val="17"/>
              </w:rPr>
              <w:t xml:space="preserve">Across 6 domains</w:t>
            </w:r>
          </w:p>
        </w:tc>
        <w:tc>
          <w:tcPr>
            <w:tcBorders>
              <w:top w:val="single" w:color="DDDDDD" w:sz="2"/>
              <w:left w:val="single" w:color="DDDDDD" w:sz="2"/>
              <w:bottom w:val="single" w:color="DDDDDD" w:sz="2"/>
              <w:right w:val="single" w:color="DDDDDD" w:sz="2"/>
            </w:tcBorders>
            <w:shd w:fill="E8F5E9" w:val="clear"/>
            <w:tcMar>
              <w:top w:type="dxa" w:w="160"/>
              <w:left w:type="dxa" w:w="180"/>
              <w:bottom w:type="dxa" w:w="160"/>
              <w:right w:type="dxa" w:w="180"/>
            </w:tcMar>
          </w:tcPr>
          <w:p>
            <w:pPr>
              <w:spacing w:before="0" w:after="8"/>
              <w:jc w:val="center"/>
            </w:pPr>
            <w:r>
              <w:rPr>
                <w:rFonts w:ascii="Arial" w:cs="Arial" w:eastAsia="Arial" w:hAnsi="Arial"/>
                <w:b/>
                <w:bCs/>
                <w:color w:val="1A237E"/>
                <w:sz w:val="40"/>
                <w:szCs w:val="40"/>
              </w:rPr>
              <w:t xml:space="preserve">63</w:t>
            </w:r>
          </w:p>
          <w:p>
            <w:pPr>
              <w:spacing w:before="0" w:after="8"/>
              <w:jc w:val="center"/>
            </w:pPr>
            <w:r>
              <w:rPr>
                <w:rFonts w:ascii="Arial" w:cs="Arial" w:eastAsia="Arial" w:hAnsi="Arial"/>
                <w:b/>
                <w:bCs/>
                <w:color w:val="0A0A0A"/>
                <w:sz w:val="19"/>
                <w:szCs w:val="19"/>
              </w:rPr>
              <w:t xml:space="preserve">Test Coverage</w:t>
            </w:r>
          </w:p>
          <w:p>
            <w:pPr>
              <w:spacing w:before="0" w:after="0"/>
              <w:jc w:val="center"/>
            </w:pPr>
            <w:r>
              <w:rPr>
                <w:rFonts w:ascii="Arial" w:cs="Arial" w:eastAsia="Arial" w:hAnsi="Arial"/>
                <w:color w:val="777777"/>
                <w:sz w:val="17"/>
                <w:szCs w:val="17"/>
              </w:rPr>
              <w:t xml:space="preserve">55 unit + 8 integration</w:t>
            </w:r>
          </w:p>
        </w:tc>
        <w:tc>
          <w:tcPr>
            <w:tcBorders>
              <w:top w:val="single" w:color="DDDDDD" w:sz="2"/>
              <w:left w:val="single" w:color="DDDDDD" w:sz="2"/>
              <w:bottom w:val="single" w:color="DDDDDD" w:sz="2"/>
              <w:right w:val="single" w:color="DDDDDD" w:sz="2"/>
            </w:tcBorders>
            <w:shd w:fill="F3E0FF" w:val="clear"/>
            <w:tcMar>
              <w:top w:type="dxa" w:w="160"/>
              <w:left w:type="dxa" w:w="180"/>
              <w:bottom w:type="dxa" w:w="160"/>
              <w:right w:type="dxa" w:w="180"/>
            </w:tcMar>
          </w:tcPr>
          <w:p>
            <w:pPr>
              <w:spacing w:before="0" w:after="8"/>
              <w:jc w:val="center"/>
            </w:pPr>
            <w:r>
              <w:rPr>
                <w:rFonts w:ascii="Arial" w:cs="Arial" w:eastAsia="Arial" w:hAnsi="Arial"/>
                <w:b/>
                <w:bCs/>
                <w:color w:val="1A237E"/>
                <w:sz w:val="40"/>
                <w:szCs w:val="40"/>
              </w:rPr>
              <w:t xml:space="preserve">~1.1s</w:t>
            </w:r>
          </w:p>
          <w:p>
            <w:pPr>
              <w:spacing w:before="0" w:after="8"/>
              <w:jc w:val="center"/>
            </w:pPr>
            <w:r>
              <w:rPr>
                <w:rFonts w:ascii="Arial" w:cs="Arial" w:eastAsia="Arial" w:hAnsi="Arial"/>
                <w:b/>
                <w:bCs/>
                <w:color w:val="0A0A0A"/>
                <w:sz w:val="19"/>
                <w:szCs w:val="19"/>
              </w:rPr>
              <w:t xml:space="preserve">FHE Latency</w:t>
            </w:r>
          </w:p>
          <w:p>
            <w:pPr>
              <w:spacing w:before="0" w:after="0"/>
              <w:jc w:val="center"/>
            </w:pPr>
            <w:r>
              <w:rPr>
                <w:rFonts w:ascii="Arial" w:cs="Arial" w:eastAsia="Arial" w:hAnsi="Arial"/>
                <w:color w:val="777777"/>
                <w:sz w:val="17"/>
                <w:szCs w:val="17"/>
              </w:rPr>
              <w:t xml:space="preserve">CKKS + BFV verified</w:t>
            </w:r>
          </w:p>
        </w:tc>
        <w:tc>
          <w:tcPr>
            <w:tcBorders>
              <w:top w:val="single" w:color="DDDDDD" w:sz="2"/>
              <w:left w:val="single" w:color="DDDDDD" w:sz="2"/>
              <w:bottom w:val="single" w:color="DDDDDD" w:sz="2"/>
              <w:right w:val="single" w:color="DDDDDD" w:sz="2"/>
            </w:tcBorders>
            <w:shd w:fill="FFF3E0" w:val="clear"/>
            <w:tcMar>
              <w:top w:type="dxa" w:w="160"/>
              <w:left w:type="dxa" w:w="180"/>
              <w:bottom w:type="dxa" w:w="160"/>
              <w:right w:type="dxa" w:w="180"/>
            </w:tcMar>
          </w:tcPr>
          <w:p>
            <w:pPr>
              <w:spacing w:before="0" w:after="8"/>
              <w:jc w:val="center"/>
            </w:pPr>
            <w:r>
              <w:rPr>
                <w:rFonts w:ascii="Arial" w:cs="Arial" w:eastAsia="Arial" w:hAnsi="Arial"/>
                <w:b/>
                <w:bCs/>
                <w:color w:val="1A237E"/>
                <w:sz w:val="40"/>
                <w:szCs w:val="40"/>
              </w:rPr>
              <w:t xml:space="preserve">40%+</w:t>
            </w:r>
          </w:p>
          <w:p>
            <w:pPr>
              <w:spacing w:before="0" w:after="8"/>
              <w:jc w:val="center"/>
            </w:pPr>
            <w:r>
              <w:rPr>
                <w:rFonts w:ascii="Arial" w:cs="Arial" w:eastAsia="Arial" w:hAnsi="Arial"/>
                <w:b/>
                <w:bCs/>
                <w:color w:val="0A0A0A"/>
                <w:sz w:val="19"/>
                <w:szCs w:val="19"/>
              </w:rPr>
              <w:t xml:space="preserve">Cost Savings</w:t>
            </w:r>
          </w:p>
          <w:p>
            <w:pPr>
              <w:spacing w:before="0" w:after="0"/>
              <w:jc w:val="center"/>
            </w:pPr>
            <w:r>
              <w:rPr>
                <w:rFonts w:ascii="Arial" w:cs="Arial" w:eastAsia="Arial" w:hAnsi="Arial"/>
                <w:color w:val="777777"/>
                <w:sz w:val="17"/>
                <w:szCs w:val="17"/>
              </w:rPr>
              <w:t xml:space="preserve">Via Smart Router v2</w:t>
            </w:r>
          </w:p>
        </w:tc>
        <w:tc>
          <w:tcPr>
            <w:tcBorders>
              <w:top w:val="single" w:color="DDDDDD" w:sz="2"/>
              <w:left w:val="single" w:color="DDDDDD" w:sz="2"/>
              <w:bottom w:val="single" w:color="DDDDDD" w:sz="2"/>
              <w:right w:val="single" w:color="DDDDDD" w:sz="2"/>
            </w:tcBorders>
            <w:shd w:fill="F4F4F4" w:val="clear"/>
            <w:tcMar>
              <w:top w:type="dxa" w:w="160"/>
              <w:left w:type="dxa" w:w="180"/>
              <w:bottom w:type="dxa" w:w="160"/>
              <w:right w:type="dxa" w:w="180"/>
            </w:tcMar>
          </w:tcPr>
          <w:p>
            <w:pPr>
              <w:spacing w:before="0" w:after="8"/>
              <w:jc w:val="center"/>
            </w:pPr>
            <w:r>
              <w:rPr>
                <w:rFonts w:ascii="Arial" w:cs="Arial" w:eastAsia="Arial" w:hAnsi="Arial"/>
                <w:b/>
                <w:bCs/>
                <w:color w:val="1A237E"/>
                <w:sz w:val="40"/>
                <w:szCs w:val="40"/>
              </w:rPr>
              <w:t xml:space="preserve">&lt;90</w:t>
            </w:r>
          </w:p>
          <w:p>
            <w:pPr>
              <w:spacing w:before="0" w:after="8"/>
              <w:jc w:val="center"/>
            </w:pPr>
            <w:r>
              <w:rPr>
                <w:rFonts w:ascii="Arial" w:cs="Arial" w:eastAsia="Arial" w:hAnsi="Arial"/>
                <w:b/>
                <w:bCs/>
                <w:color w:val="0A0A0A"/>
                <w:sz w:val="19"/>
                <w:szCs w:val="19"/>
              </w:rPr>
              <w:t xml:space="preserve">Days to Build</w:t>
            </w:r>
          </w:p>
          <w:p>
            <w:pPr>
              <w:spacing w:before="0" w:after="0"/>
              <w:jc w:val="center"/>
            </w:pPr>
            <w:r>
              <w:rPr>
                <w:rFonts w:ascii="Arial" w:cs="Arial" w:eastAsia="Arial" w:hAnsi="Arial"/>
                <w:color w:val="777777"/>
                <w:sz w:val="17"/>
                <w:szCs w:val="17"/>
              </w:rPr>
              <w:t xml:space="preserve">Solo developer</w:t>
            </w:r>
          </w:p>
        </w:tc>
      </w:tr>
    </w:tbl>
    <w:p>
      <w:pPr>
        <w:spacing w:before="80" w:after="0"/>
      </w:pPr>
      <w:r>
        <w:t xml:space="preserve"/>
      </w:r>
    </w:p>
    <w:p>
      <w:pPr>
        <w:pBdr>
          <w:bottom w:val="single" w:color="1A237E" w:sz="4" w:space="1"/>
        </w:pBdr>
        <w:spacing w:before="160" w:after="160"/>
      </w:pPr>
      <w:r>
        <w:t xml:space="preserve"/>
      </w:r>
    </w:p>
    <w:p>
      <w:pPr>
        <w:pStyle w:val="Heading1"/>
        <w:spacing w:before="480" w:after="160"/>
      </w:pPr>
      <w:r>
        <w:rPr>
          <w:rFonts w:ascii="Arial" w:cs="Arial" w:eastAsia="Arial" w:hAnsi="Arial"/>
          <w:b/>
          <w:bCs/>
          <w:color w:val="0A0A0A"/>
          <w:sz w:val="40"/>
          <w:szCs w:val="40"/>
        </w:rPr>
        <w:t xml:space="preserve">Architecture: The Problem With Running Everything</w:t>
      </w:r>
    </w:p>
    <w:p>
      <w:pPr>
        <w:spacing w:before="80" w:after="80"/>
      </w:pPr>
      <w:r>
        <w:rPr>
          <w:rFonts w:ascii="Arial" w:cs="Arial" w:eastAsia="Arial" w:hAnsi="Arial"/>
          <w:color w:val="0A0A0A"/>
          <w:sz w:val="23"/>
          <w:szCs w:val="23"/>
        </w:rPr>
        <w:t xml:space="preserve">The first question when building multi-domain NIM integration is deceptively simple: how does a single incoming request know which model — or models — should handle it? A biology query about protein structure and a robotics query about navigation planning look syntactically identical. Both arrive as JSON. Both expect a response. The domain is semantic, not structural.</w:t>
      </w:r>
    </w:p>
    <w:p>
      <w:pPr>
        <w:spacing w:before="40" w:after="0"/>
      </w:pPr>
      <w:r>
        <w:t xml:space="preserve"/>
      </w:r>
    </w:p>
    <w:p>
      <w:pPr>
        <w:spacing w:before="80" w:after="80"/>
      </w:pPr>
      <w:r>
        <w:rPr>
          <w:rFonts w:ascii="Arial" w:cs="Arial" w:eastAsia="Arial" w:hAnsi="Arial"/>
          <w:color w:val="0A0A0A"/>
          <w:sz w:val="23"/>
          <w:szCs w:val="23"/>
        </w:rPr>
        <w:t xml:space="preserve">The naive solution is domain-specific endpoints: /api/biology, /api/robotics, /api/speech. I built this first. It works. It also puts the routing burden entirely on the client, breaks multi-domain queries (a vision query that needs embedding output for downstream RAG), and makes the billing layer nightmarish because every domain has different token semantics.</w:t>
      </w:r>
    </w:p>
    <w:p>
      <w:pPr>
        <w:spacing w:before="40" w:after="0"/>
      </w:pPr>
      <w:r>
        <w:t xml:space="preserve"/>
      </w:r>
    </w:p>
    <w:p>
      <w:pPr>
        <w:spacing w:before="80" w:after="80"/>
      </w:pPr>
      <w:r>
        <w:rPr>
          <w:rFonts w:ascii="Arial" w:cs="Arial" w:eastAsia="Arial" w:hAnsi="Arial"/>
          <w:color w:val="0A0A0A"/>
          <w:sz w:val="23"/>
          <w:szCs w:val="23"/>
        </w:rPr>
        <w:t xml:space="preserve">The real solution is a router that understands intent.</w:t>
      </w:r>
    </w:p>
    <w:p>
      <w:pPr>
        <w:spacing w:before="60" w:after="0"/>
      </w:pPr>
      <w:r>
        <w:t xml:space="preserve"/>
      </w:r>
    </w:p>
    <w:p>
      <w:pPr>
        <w:pStyle w:val="Heading2"/>
        <w:spacing w:before="360" w:after="120"/>
      </w:pPr>
      <w:r>
        <w:rPr>
          <w:rFonts w:ascii="Arial" w:cs="Arial" w:eastAsia="Arial" w:hAnsi="Arial"/>
          <w:b/>
          <w:bCs/>
          <w:color w:val="1A237E"/>
          <w:sz w:val="28"/>
          <w:szCs w:val="28"/>
        </w:rPr>
        <w:t xml:space="preserve">Smart Router v2: Domain-Aware Routing at 26-Model Scale</w:t>
      </w:r>
    </w:p>
    <w:p>
      <w:pPr>
        <w:spacing w:before="80" w:after="80"/>
      </w:pPr>
      <w:r>
        <w:rPr>
          <w:rFonts w:ascii="Arial" w:cs="Arial" w:eastAsia="Arial" w:hAnsi="Arial"/>
          <w:color w:val="0A0A0A"/>
          <w:sz w:val="23"/>
          <w:szCs w:val="23"/>
        </w:rPr>
        <w:t xml:space="preserve">Smart Router v2 is the core innovation in AMAIMA's architecture. It is a single FastAPI endpoint that receives any query and makes three decisions before touching a model:</w:t>
      </w:r>
    </w:p>
    <w:p>
      <w:pPr>
        <w:spacing w:before="30" w:after="0"/>
      </w:pPr>
      <w:r>
        <w:t xml:space="preserve"/>
      </w:r>
    </w:p>
    <w:p>
      <w:pPr>
        <w:pStyle w:val="ListParagraph"/>
        <w:numPr>
          <w:ilvl w:val="0"/>
          <w:numId w:val="2"/>
        </w:numPr>
        <w:spacing w:before="55" w:after="55"/>
      </w:pPr>
      <w:r>
        <w:rPr>
          <w:rFonts w:ascii="Arial" w:cs="Arial" w:eastAsia="Arial" w:hAnsi="Arial"/>
          <w:color w:val="0A0A0A"/>
          <w:sz w:val="22"/>
          <w:szCs w:val="22"/>
        </w:rPr>
        <w:t xml:space="preserve">Domain classification — which of the six domains does this query belong to? Uses a 5-level complexity taxonomy (simple factual, analytical, creative, technical, research-grade) with domain-specific keyword detection and semantic routing fallback.</w:t>
      </w:r>
    </w:p>
    <w:p>
      <w:pPr>
        <w:pStyle w:val="ListParagraph"/>
        <w:numPr>
          <w:ilvl w:val="0"/>
          <w:numId w:val="2"/>
        </w:numPr>
        <w:spacing w:before="55" w:after="55"/>
      </w:pPr>
      <w:r>
        <w:rPr>
          <w:rFonts w:ascii="Arial" w:cs="Arial" w:eastAsia="Arial" w:hAnsi="Arial"/>
          <w:color w:val="0A0A0A"/>
          <w:sz w:val="22"/>
          <w:szCs w:val="22"/>
        </w:rPr>
        <w:t xml:space="preserve">Model selection — within the classified domain, which specific model matches the query complexity? A simple protein structure question routes to ESM2. A full docking simulation routes to the AlphaFold2 → DiffDock pipeline.</w:t>
      </w:r>
    </w:p>
    <w:p>
      <w:pPr>
        <w:pStyle w:val="ListParagraph"/>
        <w:numPr>
          <w:ilvl w:val="0"/>
          <w:numId w:val="2"/>
        </w:numPr>
        <w:spacing w:before="55" w:after="55"/>
      </w:pPr>
      <w:r>
        <w:rPr>
          <w:rFonts w:ascii="Arial" w:cs="Arial" w:eastAsia="Arial" w:hAnsi="Arial"/>
          <w:color w:val="0A0A0A"/>
          <w:sz w:val="22"/>
          <w:szCs w:val="22"/>
        </w:rPr>
        <w:t xml:space="preserve">Privacy detection — does this query contain indicators (keywords, data patterns, explicit flags) that require FHE routing? If yes, the query is redirected to the FHE service layer before touching any NIM endpoint.</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240"/>
              <w:left w:type="dxa" w:w="320"/>
              <w:bottom w:type="dxa" w:w="240"/>
              <w:right w:type="dxa" w:w="320"/>
            </w:tcMar>
          </w:tcPr>
          <w:p>
            <w:pPr>
              <w:spacing w:before="0" w:after="0"/>
            </w:pPr>
            <w:r>
              <w:rPr>
                <w:rFonts w:ascii="Courier New" w:cs="Courier New" w:eastAsia="Courier New" w:hAnsi="Courier New"/>
                <w:color w:val="777777"/>
                <w:sz w:val="19"/>
                <w:szCs w:val="19"/>
              </w:rPr>
              <w:t xml:space="preserve"># Smart Router v2 — domain classification excerpt</w:t>
            </w:r>
          </w:p>
          <w:p>
            <w:pPr>
              <w:spacing w:before="0" w:after="0"/>
            </w:pPr>
            <w:r>
              <w:rPr>
                <w:rFonts w:ascii="Courier New" w:cs="Courier New" w:eastAsia="Courier New" w:hAnsi="Courier New"/>
                <w:color w:val="D4D4D4"/>
                <w:sz w:val="19"/>
                <w:szCs w:val="19"/>
              </w:rPr>
              <w:t xml:space="preserve">async def classify_and_route(query: str, context: dict) -&gt; RouteDecision:</w:t>
            </w:r>
          </w:p>
          <w:p>
            <w:pPr>
              <w:spacing w:before="0" w:after="0"/>
            </w:pPr>
            <w:r>
              <w:rPr>
                <w:rFonts w:ascii="Courier New" w:cs="Courier New" w:eastAsia="Courier New" w:hAnsi="Courier New"/>
                <w:color w:val="D4D4D4"/>
                <w:sz w:val="19"/>
                <w:szCs w:val="19"/>
              </w:rPr>
              <w:t xml:space="preserve">    # Step 1: Privacy scan — runs before anything else</w:t>
            </w:r>
          </w:p>
          <w:p>
            <w:pPr>
              <w:spacing w:before="0" w:after="0"/>
            </w:pPr>
            <w:r>
              <w:rPr>
                <w:rFonts w:ascii="Courier New" w:cs="Courier New" w:eastAsia="Courier New" w:hAnsi="Courier New"/>
                <w:color w:val="D4D4D4"/>
                <w:sz w:val="19"/>
                <w:szCs w:val="19"/>
              </w:rPr>
              <w:t xml:space="preserve">    if await fhe_detector.requires_encryption(query):</w:t>
            </w:r>
          </w:p>
          <w:p>
            <w:pPr>
              <w:spacing w:before="0" w:after="0"/>
            </w:pPr>
            <w:r>
              <w:rPr>
                <w:rFonts w:ascii="Courier New" w:cs="Courier New" w:eastAsia="Courier New" w:hAnsi="Courier New"/>
                <w:color w:val="CE9178"/>
                <w:sz w:val="19"/>
                <w:szCs w:val="19"/>
              </w:rPr>
              <w:t xml:space="preserve">        return RouteDecision(domain='fhe', model='ckks_compute',</w:t>
            </w:r>
          </w:p>
          <w:p>
            <w:pPr>
              <w:spacing w:before="0" w:after="0"/>
            </w:pPr>
            <w:r>
              <w:rPr>
                <w:rFonts w:ascii="Courier New" w:cs="Courier New" w:eastAsia="Courier New" w:hAnsi="Courier New"/>
                <w:color w:val="CE9178"/>
                <w:sz w:val="19"/>
                <w:szCs w:val="19"/>
              </w:rPr>
              <w:t xml:space="preserve">                             fhe_required=True, privacy_level='maximum')</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 Step 2: Domain classification via 5-level taxonomy</w:t>
            </w:r>
          </w:p>
          <w:p>
            <w:pPr>
              <w:spacing w:before="0" w:after="0"/>
            </w:pPr>
            <w:r>
              <w:rPr>
                <w:rFonts w:ascii="Courier New" w:cs="Courier New" w:eastAsia="Courier New" w:hAnsi="Courier New"/>
                <w:color w:val="D4D4D4"/>
                <w:sz w:val="19"/>
                <w:szCs w:val="19"/>
              </w:rPr>
              <w:t xml:space="preserve">    domain = await domain_classifier.classify(query, context)</w:t>
            </w:r>
          </w:p>
          <w:p>
            <w:pPr>
              <w:spacing w:before="0" w:after="0"/>
            </w:pPr>
            <w:r>
              <w:rPr>
                <w:rFonts w:ascii="Courier New" w:cs="Courier New" w:eastAsia="Courier New" w:hAnsi="Courier New"/>
                <w:color w:val="D4D4D4"/>
                <w:sz w:val="19"/>
                <w:szCs w:val="19"/>
              </w:rPr>
              <w:t xml:space="preserve">    complexity = await complexity_scorer.score(query)</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 Step 3: Model selection within domain</w:t>
            </w:r>
          </w:p>
          <w:p>
            <w:pPr>
              <w:spacing w:before="0" w:after="0"/>
            </w:pPr>
            <w:r>
              <w:rPr>
                <w:rFonts w:ascii="Courier New" w:cs="Courier New" w:eastAsia="Courier New" w:hAnsi="Courier New"/>
                <w:color w:val="D4D4D4"/>
                <w:sz w:val="19"/>
                <w:szCs w:val="19"/>
              </w:rPr>
              <w:t xml:space="preserve">    model = model_registry.select(domain=domain, complexity=complexity)</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return RouteDecision(domain=domain, model=model,</w:t>
            </w:r>
          </w:p>
          <w:p>
            <w:pPr>
              <w:spacing w:before="0" w:after="0"/>
            </w:pPr>
            <w:r>
              <w:rPr>
                <w:rFonts w:ascii="Courier New" w:cs="Courier New" w:eastAsia="Courier New" w:hAnsi="Courier New"/>
                <w:color w:val="D4D4D4"/>
                <w:sz w:val="19"/>
                <w:szCs w:val="19"/>
              </w:rPr>
              <w:t xml:space="preserve">                         fhe_required=False, estimated_tokens=complexity.tokens)</w:t>
            </w:r>
          </w:p>
        </w:tc>
      </w:tr>
    </w:tbl>
    <w:p>
      <w:pPr>
        <w:spacing w:before="50" w:after="0"/>
      </w:pPr>
      <w:r>
        <w:t xml:space="preserve"/>
      </w:r>
    </w:p>
    <w:p>
      <w:pPr>
        <w:spacing w:before="80" w:after="80"/>
      </w:pPr>
      <w:r>
        <w:rPr>
          <w:rFonts w:ascii="Arial" w:cs="Arial" w:eastAsia="Arial" w:hAnsi="Arial"/>
          <w:color w:val="0A0A0A"/>
          <w:sz w:val="23"/>
          <w:szCs w:val="23"/>
        </w:rPr>
        <w:t xml:space="preserve">The 40%+ cost savings come from complexity-aware routing. A query that a naive system would send to Llama 3.1 405B gets correctly identified as a simple factual query and routed to Llama 3.1 8B instead — at 1/50th the token cost with no measurable quality difference for that query type.</w:t>
      </w:r>
    </w:p>
    <w:p>
      <w:pPr>
        <w:spacing w:before="40" w:after="0"/>
      </w:pPr>
      <w:r>
        <w:t xml:space="preserve"/>
      </w:r>
    </w:p>
    <w:p>
      <w:pPr>
        <w:pBdr>
          <w:left w:val="single" w:color="1A237E" w:sz="16" w:space="14"/>
        </w:pBdr>
        <w:spacing w:before="140" w:after="140"/>
        <w:ind w:left="440"/>
      </w:pPr>
      <w:r>
        <w:rPr>
          <w:rFonts w:ascii="Arial" w:cs="Arial" w:eastAsia="Arial" w:hAnsi="Arial"/>
          <w:b/>
          <w:bCs/>
          <w:i/>
          <w:iCs/>
          <w:color w:val="1A237E"/>
          <w:sz w:val="26"/>
          <w:szCs w:val="26"/>
        </w:rPr>
        <w:t xml:space="preserve">The router does not just save money. It makes 26 models feel like one coherent system to every API consumer.</w:t>
      </w:r>
    </w:p>
    <w:p>
      <w:pPr>
        <w:spacing w:before="80" w:after="0"/>
      </w:pPr>
      <w:r>
        <w:t xml:space="preserve"/>
      </w:r>
    </w:p>
    <w:p>
      <w:pPr>
        <w:pStyle w:val="Heading1"/>
        <w:spacing w:before="480" w:after="160"/>
      </w:pPr>
      <w:r>
        <w:rPr>
          <w:rFonts w:ascii="Arial" w:cs="Arial" w:eastAsia="Arial" w:hAnsi="Arial"/>
          <w:b/>
          <w:bCs/>
          <w:color w:val="0A0A0A"/>
          <w:sz w:val="40"/>
          <w:szCs w:val="40"/>
        </w:rPr>
        <w:t xml:space="preserve">Domain Coexistence: How Six Domains Share One Backend</w:t>
      </w:r>
    </w:p>
    <w:p>
      <w:pPr>
        <w:spacing w:before="80" w:after="80"/>
      </w:pPr>
      <w:r>
        <w:rPr>
          <w:rFonts w:ascii="Arial" w:cs="Arial" w:eastAsia="Arial" w:hAnsi="Arial"/>
          <w:color w:val="0A0A0A"/>
          <w:sz w:val="23"/>
          <w:szCs w:val="23"/>
        </w:rPr>
        <w:t xml:space="preserve">Running six AI domains simultaneously creates infrastructure challenges that no single-domain deployment faces. The three hardest:</w:t>
      </w:r>
    </w:p>
    <w:p>
      <w:pPr>
        <w:spacing w:before="50" w:after="0"/>
      </w:pPr>
      <w:r>
        <w:t xml:space="preserve"/>
      </w:r>
    </w:p>
    <w:p>
      <w:pPr>
        <w:pStyle w:val="Heading2"/>
        <w:spacing w:before="360" w:after="120"/>
      </w:pPr>
      <w:r>
        <w:rPr>
          <w:rFonts w:ascii="Arial" w:cs="Arial" w:eastAsia="Arial" w:hAnsi="Arial"/>
          <w:b/>
          <w:bCs/>
          <w:color w:val="1A237E"/>
          <w:sz w:val="28"/>
          <w:szCs w:val="28"/>
        </w:rPr>
        <w:t xml:space="preserve">1. Memory Pressure and Model Lifecycle</w:t>
      </w:r>
    </w:p>
    <w:p>
      <w:pPr>
        <w:spacing w:before="80" w:after="80"/>
      </w:pPr>
      <w:r>
        <w:rPr>
          <w:rFonts w:ascii="Arial" w:cs="Arial" w:eastAsia="Arial" w:hAnsi="Arial"/>
          <w:color w:val="0A0A0A"/>
          <w:sz w:val="23"/>
          <w:szCs w:val="23"/>
        </w:rPr>
        <w:t xml:space="preserve">Biology models (AlphaFold2 alone requires significant GPU VRAM for full protein structure prediction) cannot share memory allocation strategy with LLM inference (which uses KV cache aggressively) or embedding models (which benefit from batching across many small requests). A naive approach loads everything and runs out of memory.</w:t>
      </w:r>
    </w:p>
    <w:p>
      <w:pPr>
        <w:spacing w:before="30" w:after="0"/>
      </w:pPr>
      <w:r>
        <w:t xml:space="preserve"/>
      </w:r>
    </w:p>
    <w:p>
      <w:pPr>
        <w:spacing w:before="80" w:after="80"/>
      </w:pPr>
      <w:r>
        <w:rPr>
          <w:rFonts w:ascii="Arial" w:cs="Arial" w:eastAsia="Arial" w:hAnsi="Arial"/>
          <w:color w:val="0A0A0A"/>
          <w:sz w:val="23"/>
          <w:szCs w:val="23"/>
        </w:rPr>
        <w:t xml:space="preserve">AMAIMA's solution: domain-specific worker pools with independent lifecycle management. Each domain service manages its own model loading, unloading, and health checks. The router's model registry tracks availability in real time — if the biology service is under memory pressure and has unloaded AlphaFold2, the router queues the request rather than failing it.</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240"/>
              <w:left w:type="dxa" w:w="320"/>
              <w:bottom w:type="dxa" w:w="240"/>
              <w:right w:type="dxa" w:w="320"/>
            </w:tcMar>
          </w:tcPr>
          <w:p>
            <w:pPr>
              <w:spacing w:before="0" w:after="0"/>
            </w:pPr>
            <w:r>
              <w:rPr>
                <w:rFonts w:ascii="Courier New" w:cs="Courier New" w:eastAsia="Courier New" w:hAnsi="Courier New"/>
                <w:color w:val="777777"/>
                <w:sz w:val="19"/>
                <w:szCs w:val="19"/>
              </w:rPr>
              <w:t xml:space="preserve"># Domain service — biology worker pool</w:t>
            </w:r>
          </w:p>
          <w:p>
            <w:pPr>
              <w:spacing w:before="0" w:after="0"/>
            </w:pPr>
            <w:r>
              <w:rPr>
                <w:rFonts w:ascii="Courier New" w:cs="Courier New" w:eastAsia="Courier New" w:hAnsi="Courier New"/>
                <w:color w:val="D4D4D4"/>
                <w:sz w:val="19"/>
                <w:szCs w:val="19"/>
              </w:rPr>
              <w:t xml:space="preserve">class BiologyService:</w:t>
            </w:r>
          </w:p>
          <w:p>
            <w:pPr>
              <w:spacing w:before="0" w:after="0"/>
            </w:pPr>
            <w:r>
              <w:rPr>
                <w:rFonts w:ascii="Courier New" w:cs="Courier New" w:eastAsia="Courier New" w:hAnsi="Courier New"/>
                <w:color w:val="D4D4D4"/>
                <w:sz w:val="19"/>
                <w:szCs w:val="19"/>
              </w:rPr>
              <w:t xml:space="preserve">    def __init__(self):</w:t>
            </w:r>
          </w:p>
          <w:p>
            <w:pPr>
              <w:spacing w:before="0" w:after="0"/>
            </w:pPr>
            <w:r>
              <w:rPr>
                <w:rFonts w:ascii="Courier New" w:cs="Courier New" w:eastAsia="Courier New" w:hAnsi="Courier New"/>
                <w:color w:val="D4D4D4"/>
                <w:sz w:val="19"/>
                <w:szCs w:val="19"/>
              </w:rPr>
              <w:t xml:space="preserve">        self.model_pool = {</w:t>
            </w:r>
          </w:p>
          <w:p>
            <w:pPr>
              <w:spacing w:before="0" w:after="0"/>
            </w:pPr>
            <w:r>
              <w:rPr>
                <w:rFonts w:ascii="Courier New" w:cs="Courier New" w:eastAsia="Courier New" w:hAnsi="Courier New"/>
                <w:color w:val="CE9178"/>
                <w:sz w:val="19"/>
                <w:szCs w:val="19"/>
              </w:rPr>
              <w:t xml:space="preserve">            'alphafold2': ModelWorker(vram_budget='8GB', lazy_load=True),</w:t>
            </w:r>
          </w:p>
          <w:p>
            <w:pPr>
              <w:spacing w:before="0" w:after="0"/>
            </w:pPr>
            <w:r>
              <w:rPr>
                <w:rFonts w:ascii="Courier New" w:cs="Courier New" w:eastAsia="Courier New" w:hAnsi="Courier New"/>
                <w:color w:val="CE9178"/>
                <w:sz w:val="19"/>
                <w:szCs w:val="19"/>
              </w:rPr>
              <w:t xml:space="preserve">            'diffdock': ModelWorker(vram_budget='4GB', lazy_load=True),</w:t>
            </w:r>
          </w:p>
          <w:p>
            <w:pPr>
              <w:spacing w:before="0" w:after="0"/>
            </w:pPr>
            <w:r>
              <w:rPr>
                <w:rFonts w:ascii="Courier New" w:cs="Courier New" w:eastAsia="Courier New" w:hAnsi="Courier New"/>
                <w:color w:val="CE9178"/>
                <w:sz w:val="19"/>
                <w:szCs w:val="19"/>
              </w:rPr>
              <w:t xml:space="preserve">            'genmol': ModelWorker(vram_budget='2GB', lazy_load=False),</w:t>
            </w:r>
          </w:p>
          <w:p>
            <w:pPr>
              <w:spacing w:before="0" w:after="0"/>
            </w:pPr>
            <w:r>
              <w:rPr>
                <w:rFonts w:ascii="Courier New" w:cs="Courier New" w:eastAsia="Courier New" w:hAnsi="Courier New"/>
                <w:color w:val="CE9178"/>
                <w:sz w:val="19"/>
                <w:szCs w:val="19"/>
              </w:rPr>
              <w:t xml:space="preserve">            'esm2': ModelWorker(vram_budget='3GB', lazy_load=False),</w:t>
            </w:r>
          </w:p>
          <w:p>
            <w:pPr>
              <w:spacing w:before="0" w:after="0"/>
            </w:pPr>
            <w:r>
              <w:rPr>
                <w:rFonts w:ascii="Courier New" w:cs="Courier New" w:eastAsia="Courier New" w:hAnsi="Courier New"/>
                <w:color w:val="CE9178"/>
                <w:sz w:val="19"/>
                <w:szCs w:val="19"/>
              </w:rPr>
              <w:t xml:space="preserve">            'megamolbart': ModelWorker(vram_budget='4GB', lazy_load=True),</w:t>
            </w:r>
          </w:p>
          <w:p>
            <w:pPr>
              <w:spacing w:before="0" w:after="0"/>
            </w:pPr>
            <w:r>
              <w:rPr>
                <w:rFonts w:ascii="Courier New" w:cs="Courier New" w:eastAsia="Courier New" w:hAnsi="Courier New"/>
                <w:color w:val="D4D4D4"/>
                <w:sz w:val="19"/>
                <w:szCs w:val="19"/>
              </w:rPr>
              <w:t xml:space="preserve">        }</w:t>
            </w:r>
          </w:p>
          <w:p>
            <w:pPr>
              <w:spacing w:before="0" w:after="0"/>
            </w:pPr>
            <w:r>
              <w:rPr>
                <w:rFonts w:ascii="Courier New" w:cs="Courier New" w:eastAsia="Courier New" w:hAnsi="Courier New"/>
                <w:color w:val="D4D4D4"/>
                <w:sz w:val="19"/>
                <w:szCs w:val="19"/>
              </w:rPr>
              <w:t xml:space="preserve">    async def route_to_pipeline(self, query, complexity):</w:t>
            </w:r>
          </w:p>
          <w:p>
            <w:pPr>
              <w:spacing w:before="0" w:after="0"/>
            </w:pPr>
            <w:r>
              <w:rPr>
                <w:rFonts w:ascii="Courier New" w:cs="Courier New" w:eastAsia="Courier New" w:hAnsi="Courier New"/>
                <w:color w:val="D4D4D4"/>
                <w:sz w:val="19"/>
                <w:szCs w:val="19"/>
              </w:rPr>
              <w:t xml:space="preserve">        # Full drug discovery pipeline — sequential model chaining</w:t>
            </w:r>
          </w:p>
          <w:p>
            <w:pPr>
              <w:spacing w:before="0" w:after="0"/>
            </w:pPr>
            <w:r>
              <w:rPr>
                <w:rFonts w:ascii="Courier New" w:cs="Courier New" w:eastAsia="Courier New" w:hAnsi="Courier New"/>
                <w:color w:val="D4D4D4"/>
                <w:sz w:val="19"/>
                <w:szCs w:val="19"/>
              </w:rPr>
              <w:t xml:space="preserve">        if complexity.requires_full_pipeline:</w:t>
            </w:r>
          </w:p>
          <w:p>
            <w:pPr>
              <w:spacing w:before="0" w:after="0"/>
            </w:pPr>
            <w:r>
              <w:rPr>
                <w:rFonts w:ascii="Courier New" w:cs="Courier New" w:eastAsia="Courier New" w:hAnsi="Courier New"/>
                <w:color w:val="CE9178"/>
                <w:sz w:val="19"/>
                <w:szCs w:val="19"/>
              </w:rPr>
              <w:t xml:space="preserve">            mol = await self.model_pool['genmol'].generate(query.target)</w:t>
            </w:r>
          </w:p>
          <w:p>
            <w:pPr>
              <w:spacing w:before="0" w:after="0"/>
            </w:pPr>
            <w:r>
              <w:rPr>
                <w:rFonts w:ascii="Courier New" w:cs="Courier New" w:eastAsia="Courier New" w:hAnsi="Courier New"/>
                <w:color w:val="CE9178"/>
                <w:sz w:val="19"/>
                <w:szCs w:val="19"/>
              </w:rPr>
              <w:t xml:space="preserve">            structure = await self.model_pool['alphafold2'].fold(query.protein)</w:t>
            </w:r>
          </w:p>
          <w:p>
            <w:pPr>
              <w:spacing w:before="0" w:after="0"/>
            </w:pPr>
            <w:r>
              <w:rPr>
                <w:rFonts w:ascii="Courier New" w:cs="Courier New" w:eastAsia="Courier New" w:hAnsi="Courier New"/>
                <w:color w:val="CE9178"/>
                <w:sz w:val="19"/>
                <w:szCs w:val="19"/>
              </w:rPr>
              <w:t xml:space="preserve">            docking_score = await self.model_pool['diffdock'].dock(mol, structure)</w:t>
            </w:r>
          </w:p>
          <w:p>
            <w:pPr>
              <w:spacing w:before="0" w:after="0"/>
            </w:pPr>
            <w:r>
              <w:rPr>
                <w:rFonts w:ascii="Courier New" w:cs="Courier New" w:eastAsia="Courier New" w:hAnsi="Courier New"/>
                <w:color w:val="D4D4D4"/>
                <w:sz w:val="19"/>
                <w:szCs w:val="19"/>
              </w:rPr>
              <w:t xml:space="preserve">            return DockingResult(molecule=mol, score=docking_score)</w:t>
            </w:r>
          </w:p>
        </w:tc>
      </w:tr>
    </w:tbl>
    <w:p>
      <w:pPr>
        <w:spacing w:before="50" w:after="0"/>
      </w:pPr>
      <w:r>
        <w:t xml:space="preserve"/>
      </w:r>
    </w:p>
    <w:p>
      <w:pPr>
        <w:pStyle w:val="Heading2"/>
        <w:spacing w:before="360" w:after="120"/>
      </w:pPr>
      <w:r>
        <w:rPr>
          <w:rFonts w:ascii="Arial" w:cs="Arial" w:eastAsia="Arial" w:hAnsi="Arial"/>
          <w:b/>
          <w:bCs/>
          <w:color w:val="1A237E"/>
          <w:sz w:val="28"/>
          <w:szCs w:val="28"/>
        </w:rPr>
        <w:t xml:space="preserve">2. Cross-Domain Query Handling</w:t>
      </w:r>
    </w:p>
    <w:p>
      <w:pPr>
        <w:spacing w:before="80" w:after="80"/>
      </w:pPr>
      <w:r>
        <w:rPr>
          <w:rFonts w:ascii="Arial" w:cs="Arial" w:eastAsia="Arial" w:hAnsi="Arial"/>
          <w:color w:val="0A0A0A"/>
          <w:sz w:val="23"/>
          <w:szCs w:val="23"/>
        </w:rPr>
        <w:t xml:space="preserve">Real enterprise queries are rarely single-domain. A robotics navigation request often needs vision (Cosmos Reason2 for scene understanding) and embeddings (for spatial memory). A drug discovery workflow uses biology models for structure prediction and embedding models for compound similarity search.</w:t>
      </w:r>
    </w:p>
    <w:p>
      <w:pPr>
        <w:spacing w:before="30" w:after="0"/>
      </w:pPr>
      <w:r>
        <w:t xml:space="preserve"/>
      </w:r>
    </w:p>
    <w:p>
      <w:pPr>
        <w:spacing w:before="80" w:after="80"/>
      </w:pPr>
      <w:r>
        <w:rPr>
          <w:rFonts w:ascii="Arial" w:cs="Arial" w:eastAsia="Arial" w:hAnsi="Arial"/>
          <w:color w:val="0A0A0A"/>
          <w:sz w:val="23"/>
          <w:szCs w:val="23"/>
        </w:rPr>
        <w:t xml:space="preserve">Smart Router v2 handles this with a chain-of-thought routing layer — it detects when a query requires outputs from multiple domains and builds a sequential execution plan before any model call is made. The result looks like a single API response to the consumer.</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240"/>
              <w:left w:type="dxa" w:w="320"/>
              <w:bottom w:type="dxa" w:w="240"/>
              <w:right w:type="dxa" w:w="320"/>
            </w:tcMar>
          </w:tcPr>
          <w:p>
            <w:pPr>
              <w:spacing w:before="0" w:after="0"/>
            </w:pPr>
            <w:r>
              <w:rPr>
                <w:rFonts w:ascii="Courier New" w:cs="Courier New" w:eastAsia="Courier New" w:hAnsi="Courier New"/>
                <w:color w:val="777777"/>
                <w:sz w:val="19"/>
                <w:szCs w:val="19"/>
              </w:rPr>
              <w:t xml:space="preserve"># Cross-domain chain execution</w:t>
            </w:r>
          </w:p>
          <w:p>
            <w:pPr>
              <w:spacing w:before="0" w:after="0"/>
            </w:pPr>
            <w:r>
              <w:rPr>
                <w:rFonts w:ascii="Courier New" w:cs="Courier New" w:eastAsia="Courier New" w:hAnsi="Courier New"/>
                <w:color w:val="D4D4D4"/>
                <w:sz w:val="19"/>
                <w:szCs w:val="19"/>
              </w:rPr>
              <w:t xml:space="preserve">async def execute_chain(chain_plan: ChainPlan) -&gt; ChainResult:</w:t>
            </w:r>
          </w:p>
          <w:p>
            <w:pPr>
              <w:spacing w:before="0" w:after="0"/>
            </w:pPr>
            <w:r>
              <w:rPr>
                <w:rFonts w:ascii="Courier New" w:cs="Courier New" w:eastAsia="Courier New" w:hAnsi="Courier New"/>
                <w:color w:val="D4D4D4"/>
                <w:sz w:val="19"/>
                <w:szCs w:val="19"/>
              </w:rPr>
              <w:t xml:space="preserve">    results = {}</w:t>
            </w:r>
          </w:p>
          <w:p>
            <w:pPr>
              <w:spacing w:before="0" w:after="0"/>
            </w:pPr>
            <w:r>
              <w:rPr>
                <w:rFonts w:ascii="Courier New" w:cs="Courier New" w:eastAsia="Courier New" w:hAnsi="Courier New"/>
                <w:color w:val="D4D4D4"/>
                <w:sz w:val="19"/>
                <w:szCs w:val="19"/>
              </w:rPr>
              <w:t xml:space="preserve">    for step in chain_plan.steps:</w:t>
            </w:r>
          </w:p>
          <w:p>
            <w:pPr>
              <w:spacing w:before="0" w:after="0"/>
            </w:pPr>
            <w:r>
              <w:rPr>
                <w:rFonts w:ascii="Courier New" w:cs="Courier New" w:eastAsia="Courier New" w:hAnsi="Courier New"/>
                <w:color w:val="D4D4D4"/>
                <w:sz w:val="19"/>
                <w:szCs w:val="19"/>
              </w:rPr>
              <w:t xml:space="preserve">        # Each step can use the output of previous steps as context</w:t>
            </w:r>
          </w:p>
          <w:p>
            <w:pPr>
              <w:spacing w:before="0" w:after="0"/>
            </w:pPr>
            <w:r>
              <w:rPr>
                <w:rFonts w:ascii="Courier New" w:cs="Courier New" w:eastAsia="Courier New" w:hAnsi="Courier New"/>
                <w:color w:val="D4D4D4"/>
                <w:sz w:val="19"/>
                <w:szCs w:val="19"/>
              </w:rPr>
              <w:t xml:space="preserve">        context = {k: results[k] for k in step.requires}</w:t>
            </w:r>
          </w:p>
          <w:p>
            <w:pPr>
              <w:spacing w:before="0" w:after="0"/>
            </w:pPr>
            <w:r>
              <w:rPr>
                <w:rFonts w:ascii="Courier New" w:cs="Courier New" w:eastAsia="Courier New" w:hAnsi="Courier New"/>
                <w:color w:val="D4D4D4"/>
                <w:sz w:val="19"/>
                <w:szCs w:val="19"/>
              </w:rPr>
              <w:t xml:space="preserve">        results[step.name] = await domain_services[step.domain].execute(</w:t>
            </w:r>
          </w:p>
          <w:p>
            <w:pPr>
              <w:spacing w:before="0" w:after="0"/>
            </w:pPr>
            <w:r>
              <w:rPr>
                <w:rFonts w:ascii="Courier New" w:cs="Courier New" w:eastAsia="Courier New" w:hAnsi="Courier New"/>
                <w:color w:val="D4D4D4"/>
                <w:sz w:val="19"/>
                <w:szCs w:val="19"/>
              </w:rPr>
              <w:t xml:space="preserve">            query=step.query,</w:t>
            </w:r>
          </w:p>
          <w:p>
            <w:pPr>
              <w:spacing w:before="0" w:after="0"/>
            </w:pPr>
            <w:r>
              <w:rPr>
                <w:rFonts w:ascii="Courier New" w:cs="Courier New" w:eastAsia="Courier New" w:hAnsi="Courier New"/>
                <w:color w:val="D4D4D4"/>
                <w:sz w:val="19"/>
                <w:szCs w:val="19"/>
              </w:rPr>
              <w:t xml:space="preserve">            context=context,</w:t>
            </w:r>
          </w:p>
          <w:p>
            <w:pPr>
              <w:spacing w:before="0" w:after="0"/>
            </w:pPr>
            <w:r>
              <w:rPr>
                <w:rFonts w:ascii="Courier New" w:cs="Courier New" w:eastAsia="Courier New" w:hAnsi="Courier New"/>
                <w:color w:val="D4D4D4"/>
                <w:sz w:val="19"/>
                <w:szCs w:val="19"/>
              </w:rPr>
              <w:t xml:space="preserve">            model=step.model</w:t>
            </w:r>
          </w:p>
          <w:p>
            <w:pPr>
              <w:spacing w:before="0" w:after="0"/>
            </w:pPr>
            <w:r>
              <w:rPr>
                <w:rFonts w:ascii="Courier New" w:cs="Courier New" w:eastAsia="Courier New" w:hAnsi="Courier New"/>
                <w:color w:val="D4D4D4"/>
                <w:sz w:val="19"/>
                <w:szCs w:val="19"/>
              </w:rPr>
              <w:t xml:space="preserve">        )</w:t>
            </w:r>
          </w:p>
          <w:p>
            <w:pPr>
              <w:spacing w:before="0" w:after="0"/>
            </w:pPr>
            <w:r>
              <w:rPr>
                <w:rFonts w:ascii="Courier New" w:cs="Courier New" w:eastAsia="Courier New" w:hAnsi="Courier New"/>
                <w:color w:val="D4D4D4"/>
                <w:sz w:val="19"/>
                <w:szCs w:val="19"/>
              </w:rPr>
              <w:t xml:space="preserve">    return ChainResult(steps=results, final=results[chain_plan.output_step])</w:t>
            </w:r>
          </w:p>
        </w:tc>
      </w:tr>
    </w:tbl>
    <w:p>
      <w:pPr>
        <w:spacing w:before="80" w:after="0"/>
      </w:pPr>
      <w:r>
        <w:t xml:space="preserve"/>
      </w:r>
    </w:p>
    <w:p>
      <w:pPr>
        <w:pStyle w:val="Heading1"/>
        <w:spacing w:before="480" w:after="160"/>
      </w:pPr>
      <w:r>
        <w:rPr>
          <w:rFonts w:ascii="Arial" w:cs="Arial" w:eastAsia="Arial" w:hAnsi="Arial"/>
          <w:b/>
          <w:bCs/>
          <w:color w:val="0A0A0A"/>
          <w:sz w:val="40"/>
          <w:szCs w:val="40"/>
        </w:rPr>
        <w:t xml:space="preserve">The FHE Integration: Encrypted Inference on NVIDIA's Stack</w:t>
      </w:r>
    </w:p>
    <w:p>
      <w:pPr>
        <w:spacing w:before="80" w:after="80"/>
      </w:pPr>
      <w:r>
        <w:rPr>
          <w:rFonts w:ascii="Arial" w:cs="Arial" w:eastAsia="Arial" w:hAnsi="Arial"/>
          <w:color w:val="0A0A0A"/>
          <w:sz w:val="23"/>
          <w:szCs w:val="23"/>
        </w:rPr>
        <w:t xml:space="preserve">The most significant architectural addition to AMAIMA is the Fully Homomorphic Encryption subsystem. Built on Microsoft SEAL via TenSEAL, it adds a cryptographic compute layer that allows queries to be processed without the server ever seeing the plaintext input.</w:t>
      </w:r>
    </w:p>
    <w:p>
      <w:pPr>
        <w:spacing w:before="40" w:after="0"/>
      </w:pPr>
      <w:r>
        <w:t xml:space="preserve"/>
      </w:r>
    </w:p>
    <w:p>
      <w:pPr>
        <w:spacing w:before="80" w:after="80"/>
      </w:pPr>
      <w:r>
        <w:rPr>
          <w:rFonts w:ascii="Arial" w:cs="Arial" w:eastAsia="Arial" w:hAnsi="Arial"/>
          <w:color w:val="0A0A0A"/>
          <w:sz w:val="23"/>
          <w:szCs w:val="23"/>
        </w:rPr>
        <w:t xml:space="preserve">The practical implications for NVIDIA's ecosystem are significant: biopharma customers who cannot send proprietary compound libraries to any cloud service can now run AlphaFold2 and DiffDock on encrypted molecular data. Healthcare organizations can run HIPAA-sensitive workflows on encrypted patient data. Defense applications can route classified queries through commercial NVIDIA infrastructure.</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200"/>
              <w:left w:type="dxa" w:w="320"/>
              <w:bottom w:type="dxa" w:w="200"/>
              <w:right w:type="dxa" w:w="320"/>
            </w:tcMar>
          </w:tcPr>
          <w:p>
            <w:pPr>
              <w:spacing w:before="0" w:after="20"/>
            </w:pPr>
            <w:r>
              <w:rPr>
                <w:rFonts w:ascii="Arial" w:cs="Arial" w:eastAsia="Arial" w:hAnsi="Arial"/>
                <w:b/>
                <w:bCs/>
                <w:caps/>
                <w:color w:val="1B5E20"/>
                <w:sz w:val="19"/>
                <w:szCs w:val="19"/>
              </w:rPr>
              <w:t xml:space="preserve">WHY FHE MATTERS FOR THE NVIDIA ECOSYSTEM</w:t>
            </w:r>
          </w:p>
          <w:p>
            <w:pPr>
              <w:spacing w:before="0" w:after="0"/>
            </w:pPr>
            <w:r>
              <w:rPr>
                <w:rFonts w:ascii="Arial" w:cs="Arial" w:eastAsia="Arial" w:hAnsi="Arial"/>
                <w:color w:val="0A0A0A"/>
                <w:sz w:val="22"/>
                <w:szCs w:val="22"/>
              </w:rPr>
              <w:t xml:space="preserve">NVentures has invested in companies across all six domains AMAIMA integrates — ElevenLabs (speech), Skild AI (robotics), Recursion (biology). Every one of those companies faces the same enterprise adoption barrier: customers with sensitive data who cannot send it to a cloud inference endpoint. FHE removes that barrier permanently — not through policy, but through mathematics.</w:t>
            </w:r>
          </w:p>
        </w:tc>
      </w:tr>
    </w:tbl>
    <w:p>
      <w:pPr>
        <w:spacing w:before="50" w:after="0"/>
      </w:pPr>
      <w:r>
        <w:t xml:space="preserve"/>
      </w:r>
    </w:p>
    <w:p>
      <w:pPr>
        <w:pStyle w:val="Heading2"/>
        <w:spacing w:before="360" w:after="120"/>
      </w:pPr>
      <w:r>
        <w:rPr>
          <w:rFonts w:ascii="Arial" w:cs="Arial" w:eastAsia="Arial" w:hAnsi="Arial"/>
          <w:b/>
          <w:bCs/>
          <w:color w:val="1A237E"/>
          <w:sz w:val="28"/>
          <w:szCs w:val="28"/>
        </w:rPr>
        <w:t xml:space="preserve">Implementation: CKKS for Real-Valued Inference, BFV for Exact Arithmetic</w:t>
      </w:r>
    </w:p>
    <w:p>
      <w:pPr>
        <w:spacing w:before="80" w:after="80"/>
      </w:pPr>
      <w:r>
        <w:rPr>
          <w:rFonts w:ascii="Arial" w:cs="Arial" w:eastAsia="Arial" w:hAnsi="Arial"/>
          <w:color w:val="0A0A0A"/>
          <w:sz w:val="23"/>
          <w:szCs w:val="23"/>
        </w:rPr>
        <w:t xml:space="preserve">The two FHE schemes serve different use cases within AMAIMA's domain stack:</w:t>
      </w:r>
    </w:p>
    <w:p>
      <w:pPr>
        <w:spacing w:before="30" w:after="0"/>
      </w:pPr>
      <w:r>
        <w:t xml:space="preserve"/>
      </w:r>
    </w:p>
    <w:p>
      <w:pPr>
        <w:pStyle w:val="ListParagraph"/>
        <w:numPr>
          <w:ilvl w:val="0"/>
          <w:numId w:val="2"/>
        </w:numPr>
        <w:spacing w:before="55" w:after="55"/>
      </w:pPr>
      <w:r>
        <w:rPr>
          <w:rFonts w:ascii="Arial" w:cs="Arial" w:eastAsia="Arial" w:hAnsi="Arial"/>
          <w:color w:val="0A0A0A"/>
          <w:sz w:val="22"/>
          <w:szCs w:val="22"/>
        </w:rPr>
        <w:t xml:space="preserve">CKKS (approximate arithmetic on real numbers) — used for encrypted ML inference, encrypted embedding similarity search, and drug scoring. The approximation error is bounded and known — for drug scoring use cases, it is analytically irrelevant.</w:t>
      </w:r>
    </w:p>
    <w:p>
      <w:pPr>
        <w:pStyle w:val="ListParagraph"/>
        <w:numPr>
          <w:ilvl w:val="0"/>
          <w:numId w:val="2"/>
        </w:numPr>
        <w:spacing w:before="55" w:after="55"/>
      </w:pPr>
      <w:r>
        <w:rPr>
          <w:rFonts w:ascii="Arial" w:cs="Arial" w:eastAsia="Arial" w:hAnsi="Arial"/>
          <w:color w:val="0A0A0A"/>
          <w:sz w:val="22"/>
          <w:szCs w:val="22"/>
        </w:rPr>
        <w:t xml:space="preserve">BFV (exact arithmetic on integers) — used for secure voting, private counting, and encrypted database aggregation. No approximation error. Used when exact results are required.</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240"/>
              <w:left w:type="dxa" w:w="320"/>
              <w:bottom w:type="dxa" w:w="240"/>
              <w:right w:type="dxa" w:w="320"/>
            </w:tcMar>
          </w:tcPr>
          <w:p>
            <w:pPr>
              <w:spacing w:before="0" w:after="0"/>
            </w:pPr>
            <w:r>
              <w:rPr>
                <w:rFonts w:ascii="Courier New" w:cs="Courier New" w:eastAsia="Courier New" w:hAnsi="Courier New"/>
                <w:color w:val="777777"/>
                <w:sz w:val="19"/>
                <w:szCs w:val="19"/>
              </w:rPr>
              <w:t xml:space="preserve"># AMAIMA FHE — encrypted drug scoring endpoint</w:t>
            </w:r>
          </w:p>
          <w:p>
            <w:pPr>
              <w:spacing w:before="0" w:after="0"/>
            </w:pPr>
            <w:r>
              <w:rPr>
                <w:rFonts w:ascii="Courier New" w:cs="Courier New" w:eastAsia="Courier New" w:hAnsi="Courier New"/>
                <w:color w:val="777777"/>
                <w:sz w:val="19"/>
                <w:szCs w:val="19"/>
              </w:rPr>
              <w:t xml:space="preserve"># POST /v1/fhe/drug-scoring</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569CD6"/>
                <w:sz w:val="19"/>
                <w:szCs w:val="19"/>
              </w:rPr>
              <w:t xml:space="preserve">import tenseal as ts</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777777"/>
                <w:sz w:val="19"/>
                <w:szCs w:val="19"/>
              </w:rPr>
              <w:t xml:space="preserve"># Client side — compound data never leaves encrypted</w:t>
            </w:r>
          </w:p>
          <w:p>
            <w:pPr>
              <w:spacing w:before="0" w:after="0"/>
            </w:pPr>
            <w:r>
              <w:rPr>
                <w:rFonts w:ascii="Courier New" w:cs="Courier New" w:eastAsia="Courier New" w:hAnsi="Courier New"/>
                <w:color w:val="D4D4D4"/>
                <w:sz w:val="19"/>
                <w:szCs w:val="19"/>
              </w:rPr>
              <w:t xml:space="preserve">context = ts.context(ts.SCHEME_TYPE.CKKS,</w:t>
            </w:r>
          </w:p>
          <w:p>
            <w:pPr>
              <w:spacing w:before="0" w:after="0"/>
            </w:pPr>
            <w:r>
              <w:rPr>
                <w:rFonts w:ascii="Courier New" w:cs="Courier New" w:eastAsia="Courier New" w:hAnsi="Courier New"/>
                <w:color w:val="D4D4D4"/>
                <w:sz w:val="19"/>
                <w:szCs w:val="19"/>
              </w:rPr>
              <w:t xml:space="preserve">                     poly_modulus_degree=8192,</w:t>
            </w:r>
          </w:p>
          <w:p>
            <w:pPr>
              <w:spacing w:before="0" w:after="0"/>
            </w:pPr>
            <w:r>
              <w:rPr>
                <w:rFonts w:ascii="Courier New" w:cs="Courier New" w:eastAsia="Courier New" w:hAnsi="Courier New"/>
                <w:color w:val="D4D4D4"/>
                <w:sz w:val="19"/>
                <w:szCs w:val="19"/>
              </w:rPr>
              <w:t xml:space="preserve">                     coeff_mod_bit_sizes=[60, 40, 40, 60])</w:t>
            </w:r>
          </w:p>
          <w:p>
            <w:pPr>
              <w:spacing w:before="0" w:after="0"/>
            </w:pPr>
            <w:r>
              <w:rPr>
                <w:rFonts w:ascii="Courier New" w:cs="Courier New" w:eastAsia="Courier New" w:hAnsi="Courier New"/>
                <w:color w:val="D4D4D4"/>
                <w:sz w:val="19"/>
                <w:szCs w:val="19"/>
              </w:rPr>
              <w:t xml:space="preserve">context.global_scale = 2**40</w:t>
            </w:r>
          </w:p>
          <w:p>
            <w:pPr>
              <w:spacing w:before="0" w:after="0"/>
            </w:pPr>
            <w:r>
              <w:rPr>
                <w:rFonts w:ascii="Courier New" w:cs="Courier New" w:eastAsia="Courier New" w:hAnsi="Courier New"/>
                <w:color w:val="D4D4D4"/>
                <w:sz w:val="19"/>
                <w:szCs w:val="19"/>
              </w:rPr>
              <w:t xml:space="preserve">context.generate_galois_keys()</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777777"/>
                <w:sz w:val="19"/>
                <w:szCs w:val="19"/>
              </w:rPr>
              <w:t xml:space="preserve"># Encrypt compound feature vector — server never sees this</w:t>
            </w:r>
          </w:p>
          <w:p>
            <w:pPr>
              <w:spacing w:before="0" w:after="0"/>
            </w:pPr>
            <w:r>
              <w:rPr>
                <w:rFonts w:ascii="Courier New" w:cs="Courier New" w:eastAsia="Courier New" w:hAnsi="Courier New"/>
                <w:color w:val="D4D4D4"/>
                <w:sz w:val="19"/>
                <w:szCs w:val="19"/>
              </w:rPr>
              <w:t xml:space="preserve">compound_features = [0.234, 0.891, 0.112, ...]  # proprietary</w:t>
            </w:r>
          </w:p>
          <w:p>
            <w:pPr>
              <w:spacing w:before="0" w:after="0"/>
            </w:pPr>
            <w:r>
              <w:rPr>
                <w:rFonts w:ascii="Courier New" w:cs="Courier New" w:eastAsia="Courier New" w:hAnsi="Courier New"/>
                <w:color w:val="D4D4D4"/>
                <w:sz w:val="19"/>
                <w:szCs w:val="19"/>
              </w:rPr>
              <w:t xml:space="preserve">encrypted_vector = ts.ckks_vector(context, compound_features)</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777777"/>
                <w:sz w:val="19"/>
                <w:szCs w:val="19"/>
              </w:rPr>
              <w:t xml:space="preserve"># Send ciphertext to AMAIMA — scoring happens on encrypted data</w:t>
            </w:r>
          </w:p>
          <w:p>
            <w:pPr>
              <w:spacing w:before="0" w:after="0"/>
            </w:pPr>
            <w:r>
              <w:rPr>
                <w:rFonts w:ascii="Courier New" w:cs="Courier New" w:eastAsia="Courier New" w:hAnsi="Courier New"/>
                <w:color w:val="CE9178"/>
                <w:sz w:val="19"/>
                <w:szCs w:val="19"/>
              </w:rPr>
              <w:t xml:space="preserve">response = requests.post('https://amaima.live/v1/fhe/drug-scoring',</w:t>
            </w:r>
          </w:p>
          <w:p>
            <w:pPr>
              <w:spacing w:before="0" w:after="0"/>
            </w:pPr>
            <w:r>
              <w:rPr>
                <w:rFonts w:ascii="Courier New" w:cs="Courier New" w:eastAsia="Courier New" w:hAnsi="Courier New"/>
                <w:color w:val="CE9178"/>
                <w:sz w:val="19"/>
                <w:szCs w:val="19"/>
              </w:rPr>
              <w:t xml:space="preserve">    json={'ciphertext': encrypted_vector.serialize().hex(),</w:t>
            </w:r>
          </w:p>
          <w:p>
            <w:pPr>
              <w:spacing w:before="0" w:after="0"/>
            </w:pPr>
            <w:r>
              <w:rPr>
                <w:rFonts w:ascii="Courier New" w:cs="Courier New" w:eastAsia="Courier New" w:hAnsi="Courier New"/>
                <w:color w:val="CE9178"/>
                <w:sz w:val="19"/>
                <w:szCs w:val="19"/>
              </w:rPr>
              <w:t xml:space="preserve">          'context_public': context.serialize(save_secret_key=False).hex()})</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777777"/>
                <w:sz w:val="19"/>
                <w:szCs w:val="19"/>
              </w:rPr>
              <w:t xml:space="preserve"># Decrypt result locally — server never saw the plaintext</w:t>
            </w:r>
          </w:p>
          <w:p>
            <w:pPr>
              <w:spacing w:before="0" w:after="0"/>
            </w:pPr>
            <w:r>
              <w:rPr>
                <w:rFonts w:ascii="Courier New" w:cs="Courier New" w:eastAsia="Courier New" w:hAnsi="Courier New"/>
                <w:color w:val="D4D4D4"/>
                <w:sz w:val="19"/>
                <w:szCs w:val="19"/>
              </w:rPr>
              <w:t xml:space="preserve">encrypted_score = ts.ckks_vector.load(context,</w:t>
            </w:r>
          </w:p>
          <w:p>
            <w:pPr>
              <w:spacing w:before="0" w:after="0"/>
            </w:pPr>
            <w:r>
              <w:rPr>
                <w:rFonts w:ascii="Courier New" w:cs="Courier New" w:eastAsia="Courier New" w:hAnsi="Courier New"/>
                <w:color w:val="569CD6"/>
                <w:sz w:val="19"/>
                <w:szCs w:val="19"/>
              </w:rPr>
              <w:t xml:space="preserve">    bytes.fromhex(response.json()['ciphertext']))</w:t>
            </w:r>
          </w:p>
          <w:p>
            <w:pPr>
              <w:spacing w:before="0" w:after="0"/>
            </w:pPr>
            <w:r>
              <w:rPr>
                <w:rFonts w:ascii="Courier New" w:cs="Courier New" w:eastAsia="Courier New" w:hAnsi="Courier New"/>
                <w:color w:val="D4D4D4"/>
                <w:sz w:val="19"/>
                <w:szCs w:val="19"/>
              </w:rPr>
              <w:t xml:space="preserve">score = encrypted_score.decrypt()  # happens on client only</w:t>
            </w:r>
          </w:p>
        </w:tc>
      </w:tr>
    </w:tbl>
    <w:p>
      <w:pPr>
        <w:spacing w:before="50" w:after="0"/>
      </w:pPr>
      <w:r>
        <w:t xml:space="preserve"/>
      </w:r>
    </w:p>
    <w:p>
      <w:pPr>
        <w:pStyle w:val="Heading2"/>
        <w:spacing w:before="360" w:after="120"/>
      </w:pPr>
      <w:r>
        <w:rPr>
          <w:rFonts w:ascii="Arial" w:cs="Arial" w:eastAsia="Arial" w:hAnsi="Arial"/>
          <w:b/>
          <w:bCs/>
          <w:color w:val="1A237E"/>
          <w:sz w:val="28"/>
          <w:szCs w:val="28"/>
        </w:rPr>
        <w:t xml:space="preserve">Performance: What 1.1s Means in Context</w:t>
      </w:r>
    </w:p>
    <w:p>
      <w:pPr>
        <w:spacing w:before="80" w:after="80"/>
      </w:pPr>
      <w:r>
        <w:rPr>
          <w:rFonts w:ascii="Arial" w:cs="Arial" w:eastAsia="Arial" w:hAnsi="Arial"/>
          <w:color w:val="0A0A0A"/>
          <w:sz w:val="23"/>
          <w:szCs w:val="23"/>
        </w:rPr>
        <w:t xml:space="preserve">The ~1.1 second latency per FHE operation requires context. Academic benchmarks from 2021–2023 for fully homomorphic inference showed overheads of 1,000x to 1,000,000x versus plaintext computation. The gap has closed dramatically with hardware acceleration and optimized RLWE implementations. AMAIMA's 1.1s for a drug scoring operation is production-competitive for the use case — biopharma batch scoring workflows are not real-time systems.</w:t>
      </w:r>
    </w:p>
    <w:p>
      <w:pPr>
        <w:spacing w:before="30" w:after="0"/>
      </w:pPr>
      <w:r>
        <w:t xml:space="preserve"/>
      </w:r>
    </w:p>
    <w:p>
      <w:pPr>
        <w:spacing w:before="80" w:after="80"/>
      </w:pPr>
      <w:r>
        <w:rPr>
          <w:rFonts w:ascii="Arial" w:cs="Arial" w:eastAsia="Arial" w:hAnsi="Arial"/>
          <w:color w:val="0A0A0A"/>
          <w:sz w:val="23"/>
          <w:szCs w:val="23"/>
        </w:rPr>
        <w:t xml:space="preserve">The five verified operation types — drug scoring, similarity search, secure voting, aggregation, vector arithmetic — all run within 1–1.5 seconds on current infrastructure. The 128-bit RLWE lattice security is post-quantum: resistant to Shor's algorithm and its variants.</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240"/>
              <w:left w:type="dxa" w:w="320"/>
              <w:bottom w:type="dxa" w:w="240"/>
              <w:right w:type="dxa" w:w="320"/>
            </w:tcMar>
          </w:tcPr>
          <w:p>
            <w:pPr>
              <w:spacing w:before="0" w:after="0"/>
            </w:pPr>
            <w:r>
              <w:rPr>
                <w:rFonts w:ascii="Courier New" w:cs="Courier New" w:eastAsia="Courier New" w:hAnsi="Courier New"/>
                <w:color w:val="777777"/>
                <w:sz w:val="19"/>
                <w:szCs w:val="19"/>
              </w:rPr>
              <w:t xml:space="preserve"># Smart Router v2 — FHE routing integration</w:t>
            </w:r>
          </w:p>
          <w:p>
            <w:pPr>
              <w:spacing w:before="0" w:after="0"/>
            </w:pPr>
            <w:r>
              <w:rPr>
                <w:rFonts w:ascii="Courier New" w:cs="Courier New" w:eastAsia="Courier New" w:hAnsi="Courier New"/>
                <w:color w:val="D4D4D4"/>
                <w:sz w:val="19"/>
                <w:szCs w:val="19"/>
              </w:rPr>
              <w:t xml:space="preserve">PRIVACY_KEYWORDS = [</w:t>
            </w:r>
          </w:p>
          <w:p>
            <w:pPr>
              <w:spacing w:before="0" w:after="0"/>
            </w:pPr>
            <w:r>
              <w:rPr>
                <w:rFonts w:ascii="Courier New" w:cs="Courier New" w:eastAsia="Courier New" w:hAnsi="Courier New"/>
                <w:color w:val="CE9178"/>
                <w:sz w:val="19"/>
                <w:szCs w:val="19"/>
              </w:rPr>
              <w:t xml:space="preserve">    'proprietary', 'confidential', 'hipaa', 'phi', 'classified',</w:t>
            </w:r>
          </w:p>
          <w:p>
            <w:pPr>
              <w:spacing w:before="0" w:after="0"/>
            </w:pPr>
            <w:r>
              <w:rPr>
                <w:rFonts w:ascii="Courier New" w:cs="Courier New" w:eastAsia="Courier New" w:hAnsi="Courier New"/>
                <w:color w:val="CE9178"/>
                <w:sz w:val="19"/>
                <w:szCs w:val="19"/>
              </w:rPr>
              <w:t xml:space="preserve">    'compound library', 'patient data', 'genomic', 'encrypted'</w:t>
            </w:r>
          </w:p>
          <w:p>
            <w:pPr>
              <w:spacing w:before="0" w:after="0"/>
            </w:pPr>
            <w:r>
              <w:rPr>
                <w:rFonts w:ascii="Courier New" w:cs="Courier New" w:eastAsia="Courier New" w:hAnsi="Courier New"/>
                <w:color w:val="D4D4D4"/>
                <w:sz w:val="19"/>
                <w:szCs w:val="19"/>
              </w:rPr>
              <w:t xml:space="preserve">]</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async def requires_encryption(query: str) -&gt; bool:</w:t>
            </w:r>
          </w:p>
          <w:p>
            <w:pPr>
              <w:spacing w:before="0" w:after="0"/>
            </w:pPr>
            <w:r>
              <w:rPr>
                <w:rFonts w:ascii="Courier New" w:cs="Courier New" w:eastAsia="Courier New" w:hAnsi="Courier New"/>
                <w:color w:val="D4D4D4"/>
                <w:sz w:val="19"/>
                <w:szCs w:val="19"/>
              </w:rPr>
              <w:t xml:space="preserve">    query_lower = query.lower()</w:t>
            </w:r>
          </w:p>
          <w:p>
            <w:pPr>
              <w:spacing w:before="0" w:after="0"/>
            </w:pPr>
            <w:r>
              <w:rPr>
                <w:rFonts w:ascii="Courier New" w:cs="Courier New" w:eastAsia="Courier New" w:hAnsi="Courier New"/>
                <w:color w:val="D4D4D4"/>
                <w:sz w:val="19"/>
                <w:szCs w:val="19"/>
              </w:rPr>
              <w:t xml:space="preserve">    # Keyword detection</w:t>
            </w:r>
          </w:p>
          <w:p>
            <w:pPr>
              <w:spacing w:before="0" w:after="0"/>
            </w:pPr>
            <w:r>
              <w:rPr>
                <w:rFonts w:ascii="Courier New" w:cs="Courier New" w:eastAsia="Courier New" w:hAnsi="Courier New"/>
                <w:color w:val="D4D4D4"/>
                <w:sz w:val="19"/>
                <w:szCs w:val="19"/>
              </w:rPr>
              <w:t xml:space="preserve">    if any(kw in query_lower for kw in PRIVACY_KEYWORDS):</w:t>
            </w:r>
          </w:p>
          <w:p>
            <w:pPr>
              <w:spacing w:before="0" w:after="0"/>
            </w:pPr>
            <w:r>
              <w:rPr>
                <w:rFonts w:ascii="Courier New" w:cs="Courier New" w:eastAsia="Courier New" w:hAnsi="Courier New"/>
                <w:color w:val="D4D4D4"/>
                <w:sz w:val="19"/>
                <w:szCs w:val="19"/>
              </w:rPr>
              <w:t xml:space="preserve">        return True</w:t>
            </w:r>
          </w:p>
          <w:p>
            <w:pPr>
              <w:spacing w:before="0" w:after="0"/>
            </w:pPr>
            <w:r>
              <w:rPr>
                <w:rFonts w:ascii="Courier New" w:cs="Courier New" w:eastAsia="Courier New" w:hAnsi="Courier New"/>
                <w:color w:val="D4D4D4"/>
                <w:sz w:val="19"/>
                <w:szCs w:val="19"/>
              </w:rPr>
              <w:t xml:space="preserve">    # Explicit flag</w:t>
            </w:r>
          </w:p>
          <w:p>
            <w:pPr>
              <w:spacing w:before="0" w:after="0"/>
            </w:pPr>
            <w:r>
              <w:rPr>
                <w:rFonts w:ascii="Courier New" w:cs="Courier New" w:eastAsia="Courier New" w:hAnsi="Courier New"/>
                <w:color w:val="CE9178"/>
                <w:sz w:val="19"/>
                <w:szCs w:val="19"/>
              </w:rPr>
              <w:t xml:space="preserve">    if '"privacy_required": true' in query or 'fhe_enabled=true' in query:</w:t>
            </w:r>
          </w:p>
          <w:p>
            <w:pPr>
              <w:spacing w:before="0" w:after="0"/>
            </w:pPr>
            <w:r>
              <w:rPr>
                <w:rFonts w:ascii="Courier New" w:cs="Courier New" w:eastAsia="Courier New" w:hAnsi="Courier New"/>
                <w:color w:val="D4D4D4"/>
                <w:sz w:val="19"/>
                <w:szCs w:val="19"/>
              </w:rPr>
              <w:t xml:space="preserve">        return True</w:t>
            </w:r>
          </w:p>
          <w:p>
            <w:pPr>
              <w:spacing w:before="0" w:after="0"/>
            </w:pPr>
            <w:r>
              <w:rPr>
                <w:rFonts w:ascii="Courier New" w:cs="Courier New" w:eastAsia="Courier New" w:hAnsi="Courier New"/>
                <w:color w:val="D4D4D4"/>
                <w:sz w:val="19"/>
                <w:szCs w:val="19"/>
              </w:rPr>
              <w:t xml:space="preserve">    return False</w:t>
            </w:r>
          </w:p>
        </w:tc>
      </w:tr>
    </w:tbl>
    <w:p>
      <w:pPr>
        <w:spacing w:before="80" w:after="0"/>
      </w:pPr>
      <w:r>
        <w:t xml:space="preserve"/>
      </w:r>
    </w:p>
    <w:p>
      <w:pPr>
        <w:pStyle w:val="Heading1"/>
        <w:spacing w:before="480" w:after="160"/>
      </w:pPr>
      <w:r>
        <w:rPr>
          <w:rFonts w:ascii="Arial" w:cs="Arial" w:eastAsia="Arial" w:hAnsi="Arial"/>
          <w:b/>
          <w:bCs/>
          <w:color w:val="0A0A0A"/>
          <w:sz w:val="40"/>
          <w:szCs w:val="40"/>
        </w:rPr>
        <w:t xml:space="preserve">The Visual Agent Builder: Zero-Trust Workflows</w:t>
      </w:r>
    </w:p>
    <w:p>
      <w:pPr>
        <w:spacing w:before="80" w:after="80"/>
      </w:pPr>
      <w:r>
        <w:rPr>
          <w:rFonts w:ascii="Arial" w:cs="Arial" w:eastAsia="Arial" w:hAnsi="Arial"/>
          <w:color w:val="0A0A0A"/>
          <w:sz w:val="23"/>
          <w:szCs w:val="23"/>
        </w:rPr>
        <w:t xml:space="preserve">The agent builder at amaima.live/agent-builder surfaces the platform's cross-domain capability as a visual programming environment. Built on React Flow, it lets users compose multi-model pipelines by connecting nodes on a canvas — without writing code.</w:t>
      </w:r>
    </w:p>
    <w:p>
      <w:pPr>
        <w:spacing w:before="40" w:after="0"/>
      </w:pPr>
      <w:r>
        <w:t xml:space="preserve"/>
      </w:r>
    </w:p>
    <w:p>
      <w:pPr>
        <w:spacing w:before="80" w:after="80"/>
      </w:pPr>
      <w:r>
        <w:rPr>
          <w:rFonts w:ascii="Arial" w:cs="Arial" w:eastAsia="Arial" w:hAnsi="Arial"/>
          <w:color w:val="0A0A0A"/>
          <w:sz w:val="23"/>
          <w:szCs w:val="23"/>
        </w:rPr>
        <w:t xml:space="preserve">The node palette includes all six domain palettes (33 nodes total) plus 7 FHE Privacy nodes: Encrypted Drug Discovery, Secure Voting, Encrypted Similarity Search, Encrypted Aggregation, Encrypted Vector Math, KeyGen, and Encrypt/Decrypt. This makes AMAIMA the only agent builder in existence where you can connect a robotics perception node to a biology structure prediction node and then wrap the output in an FHE encryption node — all visually, with no code.</w:t>
      </w:r>
    </w:p>
    <w:p>
      <w:pPr>
        <w:spacing w:before="40" w:after="0"/>
      </w:pPr>
      <w:r>
        <w:t xml:space="preserve"/>
      </w:r>
    </w:p>
    <w:p>
      <w:pPr>
        <w:pBdr>
          <w:left w:val="single" w:color="1A0050" w:sz="16" w:space="14"/>
        </w:pBdr>
        <w:spacing w:before="140" w:after="140"/>
        <w:ind w:left="440"/>
      </w:pPr>
      <w:r>
        <w:rPr>
          <w:rFonts w:ascii="Arial" w:cs="Arial" w:eastAsia="Arial" w:hAnsi="Arial"/>
          <w:b/>
          <w:bCs/>
          <w:i/>
          <w:iCs/>
          <w:color w:val="1A0050"/>
          <w:sz w:val="26"/>
          <w:szCs w:val="26"/>
        </w:rPr>
        <w:t xml:space="preserve">Every other agent builder works on plaintext. AMAIMA works on plaintext and encrypted data. That distinction is the entire enterprise security market.</w:t>
      </w:r>
    </w:p>
    <w:p>
      <w:pPr>
        <w:spacing w:before="40" w:after="0"/>
      </w:pPr>
      <w:r>
        <w:t xml:space="preserve"/>
      </w:r>
    </w:p>
    <w:p>
      <w:pPr>
        <w:spacing w:before="80" w:after="80"/>
      </w:pPr>
      <w:r>
        <w:rPr>
          <w:rFonts w:ascii="Arial" w:cs="Arial" w:eastAsia="Arial" w:hAnsi="Arial"/>
          <w:color w:val="0A0A0A"/>
          <w:sz w:val="23"/>
          <w:szCs w:val="23"/>
        </w:rPr>
        <w:t xml:space="preserve">Six pre-built templates accelerate enterprise deployment: Research Pipeline, Drug Discovery, Navigation Crew, Multimodal Analysis, Encrypted Drug Discovery, and Secure Voting System. The Encrypted Drug Discovery template alone — which chains GenMol → DiffDock → AlphaFold2 → Encrypted Drug Scoring — represents a complete biopharma candidate evaluation workflow that runs on ciphertext.</w:t>
      </w:r>
    </w:p>
    <w:p>
      <w:pPr>
        <w:spacing w:before="80" w:after="0"/>
      </w:pPr>
      <w:r>
        <w:t xml:space="preserve"/>
      </w:r>
    </w:p>
    <w:p>
      <w:pPr>
        <w:pStyle w:val="Heading1"/>
        <w:spacing w:before="480" w:after="160"/>
      </w:pPr>
      <w:r>
        <w:rPr>
          <w:rFonts w:ascii="Arial" w:cs="Arial" w:eastAsia="Arial" w:hAnsi="Arial"/>
          <w:b/>
          <w:bCs/>
          <w:color w:val="0A0A0A"/>
          <w:sz w:val="40"/>
          <w:szCs w:val="40"/>
        </w:rPr>
        <w:t xml:space="preserve">What I Actually Learned: The Non-Obvious Lessons</w:t>
      </w:r>
    </w:p>
    <w:p>
      <w:pPr>
        <w:pStyle w:val="Heading3"/>
        <w:spacing w:before="240" w:after="80"/>
      </w:pPr>
      <w:r>
        <w:rPr>
          <w:rFonts w:ascii="Arial" w:cs="Arial" w:eastAsia="Arial" w:hAnsi="Arial"/>
          <w:b/>
          <w:bCs/>
          <w:color w:val="0A0A0A"/>
          <w:sz w:val="23"/>
          <w:szCs w:val="23"/>
        </w:rPr>
        <w:t xml:space="preserve">1. The router is harder than the models.</w:t>
      </w:r>
    </w:p>
    <w:p>
      <w:pPr>
        <w:spacing w:before="80" w:after="80"/>
      </w:pPr>
      <w:r>
        <w:rPr>
          <w:rFonts w:ascii="Arial" w:cs="Arial" w:eastAsia="Arial" w:hAnsi="Arial"/>
          <w:color w:val="0A0A0A"/>
          <w:sz w:val="23"/>
          <w:szCs w:val="23"/>
        </w:rPr>
        <w:t xml:space="preserve">I expected model integration to be the hard part. It was not. NVIDIA's NIM APIs are remarkably consistent and well-documented. The hard part was designing a routing layer that makes 26 models feel coherent to a consumer who does not know or care which model answered their question. Every edge case in the routing logic — ambiguous domain signals, cross-domain queries, privacy detection false positives — requires explicit handling.</w:t>
      </w:r>
    </w:p>
    <w:p>
      <w:pPr>
        <w:spacing w:before="40" w:after="0"/>
      </w:pPr>
      <w:r>
        <w:t xml:space="preserve"/>
      </w:r>
    </w:p>
    <w:p>
      <w:pPr>
        <w:pStyle w:val="Heading3"/>
        <w:spacing w:before="240" w:after="80"/>
      </w:pPr>
      <w:r>
        <w:rPr>
          <w:rFonts w:ascii="Arial" w:cs="Arial" w:eastAsia="Arial" w:hAnsi="Arial"/>
          <w:b/>
          <w:bCs/>
          <w:color w:val="0A0A0A"/>
          <w:sz w:val="23"/>
          <w:szCs w:val="23"/>
        </w:rPr>
        <w:t xml:space="preserve">2. FHE changes who will use you, not how they use you.</w:t>
      </w:r>
    </w:p>
    <w:p>
      <w:pPr>
        <w:spacing w:before="80" w:after="80"/>
      </w:pPr>
      <w:r>
        <w:rPr>
          <w:rFonts w:ascii="Arial" w:cs="Arial" w:eastAsia="Arial" w:hAnsi="Arial"/>
          <w:color w:val="0A0A0A"/>
          <w:sz w:val="23"/>
          <w:szCs w:val="23"/>
        </w:rPr>
        <w:t xml:space="preserve">The API surface for FHE-enabled queries is nearly identical to plaintext queries from the consumer's perspective. The difference is that the consumer encrypts before sending and decrypts after receiving. From AMAIMA's perspective, the ciphertext processing is invisible to every other system component — the billing layer, the analytics, the model registry. This is by design: FHE is a transport property, not an application property.</w:t>
      </w:r>
    </w:p>
    <w:p>
      <w:pPr>
        <w:spacing w:before="40" w:after="0"/>
      </w:pPr>
      <w:r>
        <w:t xml:space="preserve"/>
      </w:r>
    </w:p>
    <w:p>
      <w:pPr>
        <w:pStyle w:val="Heading3"/>
        <w:spacing w:before="240" w:after="80"/>
      </w:pPr>
      <w:r>
        <w:rPr>
          <w:rFonts w:ascii="Arial" w:cs="Arial" w:eastAsia="Arial" w:hAnsi="Arial"/>
          <w:b/>
          <w:bCs/>
          <w:color w:val="0A0A0A"/>
          <w:sz w:val="23"/>
          <w:szCs w:val="23"/>
        </w:rPr>
        <w:t xml:space="preserve">3. The mobile ML engine was underestimated.</w:t>
      </w:r>
    </w:p>
    <w:p>
      <w:pPr>
        <w:spacing w:before="80" w:after="80"/>
      </w:pPr>
      <w:r>
        <w:rPr>
          <w:rFonts w:ascii="Arial" w:cs="Arial" w:eastAsia="Arial" w:hAnsi="Arial"/>
          <w:color w:val="0A0A0A"/>
          <w:sz w:val="23"/>
          <w:szCs w:val="23"/>
        </w:rPr>
        <w:t xml:space="preserve">The native Android ML engine — ONNX + TFLite dual-runtime, Whisper STT, vision OCR, local vector search, SHA-256 model integrity checks, 500MB LRU cache, biometric authentication — started as a secondary concern. It turned out to be one of the most distinctive capabilities in the platform. On-device ML that connects to the same API surface as the cloud models — with the same billing and routing logic — is rare at any stage.</w:t>
      </w:r>
    </w:p>
    <w:p>
      <w:pPr>
        <w:spacing w:before="40" w:after="0"/>
      </w:pPr>
      <w:r>
        <w:t xml:space="preserve"/>
      </w:r>
    </w:p>
    <w:p>
      <w:pPr>
        <w:pStyle w:val="Heading3"/>
        <w:spacing w:before="240" w:after="80"/>
      </w:pPr>
      <w:r>
        <w:rPr>
          <w:rFonts w:ascii="Arial" w:cs="Arial" w:eastAsia="Arial" w:hAnsi="Arial"/>
          <w:b/>
          <w:bCs/>
          <w:color w:val="0A0A0A"/>
          <w:sz w:val="23"/>
          <w:szCs w:val="23"/>
        </w:rPr>
        <w:t xml:space="preserve">4. 63 tests is not optional.</w:t>
      </w:r>
    </w:p>
    <w:p>
      <w:pPr>
        <w:spacing w:before="80" w:after="80"/>
      </w:pPr>
      <w:r>
        <w:rPr>
          <w:rFonts w:ascii="Arial" w:cs="Arial" w:eastAsia="Arial" w:hAnsi="Arial"/>
          <w:color w:val="0A0A0A"/>
          <w:sz w:val="23"/>
          <w:szCs w:val="23"/>
        </w:rPr>
        <w:t xml:space="preserve">55 unit tests and 8 integration tests covering 90%+ of the backend are what makes 26 models feel stable in production. Without test coverage, the interaction surface between six domain services and the FHE layer creates debugging nightmares. Test coverage in a multi-domain system is not a best practice — it is the architecture.</w:t>
      </w:r>
    </w:p>
    <w:p>
      <w:pPr>
        <w:spacing w:before="80" w:after="0"/>
      </w:pPr>
      <w:r>
        <w:t xml:space="preserve"/>
      </w:r>
    </w:p>
    <w:p>
      <w:pPr>
        <w:pStyle w:val="Heading1"/>
        <w:spacing w:before="480" w:after="160"/>
      </w:pPr>
      <w:r>
        <w:rPr>
          <w:rFonts w:ascii="Arial" w:cs="Arial" w:eastAsia="Arial" w:hAnsi="Arial"/>
          <w:b/>
          <w:bCs/>
          <w:color w:val="0A0A0A"/>
          <w:sz w:val="40"/>
          <w:szCs w:val="40"/>
        </w:rPr>
        <w:t xml:space="preserve">What's Next</w:t>
      </w:r>
    </w:p>
    <w:p>
      <w:pPr>
        <w:spacing w:before="80" w:after="80"/>
      </w:pPr>
      <w:r>
        <w:rPr>
          <w:rFonts w:ascii="Arial" w:cs="Arial" w:eastAsia="Arial" w:hAnsi="Arial"/>
          <w:color w:val="0A0A0A"/>
          <w:sz w:val="23"/>
          <w:szCs w:val="23"/>
        </w:rPr>
        <w:t xml:space="preserve">The platform is live and accepting Enterprise tier subscribers at $299/month. The DARPA TTO and BTO applications are in preparation. The NVIDIA Inception application is filed.</w:t>
      </w:r>
    </w:p>
    <w:p>
      <w:pPr>
        <w:spacing w:before="40" w:after="0"/>
      </w:pPr>
      <w:r>
        <w:t xml:space="preserve"/>
      </w:r>
    </w:p>
    <w:p>
      <w:pPr>
        <w:spacing w:before="80" w:after="80"/>
      </w:pPr>
      <w:r>
        <w:rPr>
          <w:rFonts w:ascii="Arial" w:cs="Arial" w:eastAsia="Arial" w:hAnsi="Arial"/>
          <w:color w:val="0A0A0A"/>
          <w:sz w:val="23"/>
          <w:szCs w:val="23"/>
        </w:rPr>
        <w:t xml:space="preserve">The immediate roadmap focuses on three things: first enterprise customer (healthcare or biopharma), NVIDIA GTC March 16–19 where the live demo will be available to any NVIDIA team who wants to see it, and the DARPA TTO executive summary due April 17.</w:t>
      </w:r>
    </w:p>
    <w:p>
      <w:pPr>
        <w:spacing w:before="40" w:after="0"/>
      </w:pPr>
      <w:r>
        <w:t xml:space="preserve"/>
      </w:r>
    </w:p>
    <w:p>
      <w:pPr>
        <w:spacing w:before="80" w:after="80"/>
      </w:pPr>
      <w:r>
        <w:rPr>
          <w:rFonts w:ascii="Arial" w:cs="Arial" w:eastAsia="Arial" w:hAnsi="Arial"/>
          <w:color w:val="0A0A0A"/>
          <w:sz w:val="23"/>
          <w:szCs w:val="23"/>
        </w:rPr>
        <w:t xml:space="preserve">The longer roadmap includes GPU-accelerated FHE using Intel HEXL and NVIDIA CUDA backends (reducing FHE latency toward the 100ms range), Reg A+ public offering via DealMaker once first customer milestone is hit, and deeper BioNeMo pipeline integration as NVIDIA's biology stack continues to expand.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AF6" w:val="clear"/>
            <w:tcMar>
              <w:top w:type="dxa" w:w="200"/>
              <w:left w:type="dxa" w:w="320"/>
              <w:bottom w:type="dxa" w:w="200"/>
              <w:right w:type="dxa" w:w="320"/>
            </w:tcMar>
          </w:tcPr>
          <w:p>
            <w:pPr>
              <w:spacing w:before="0" w:after="20"/>
            </w:pPr>
            <w:r>
              <w:rPr>
                <w:rFonts w:ascii="Arial" w:cs="Arial" w:eastAsia="Arial" w:hAnsi="Arial"/>
                <w:b/>
                <w:bCs/>
                <w:caps/>
                <w:color w:val="1A237E"/>
                <w:sz w:val="19"/>
                <w:szCs w:val="19"/>
              </w:rPr>
              <w:t xml:space="preserve">TRY IT NOW</w:t>
            </w:r>
          </w:p>
          <w:p>
            <w:pPr>
              <w:spacing w:before="0" w:after="0"/>
            </w:pPr>
            <w:r>
              <w:rPr>
                <w:rFonts w:ascii="Arial" w:cs="Arial" w:eastAsia="Arial" w:hAnsi="Arial"/>
                <w:color w:val="0A0A0A"/>
                <w:sz w:val="22"/>
                <w:szCs w:val="22"/>
              </w:rPr>
              <w:t xml:space="preserve">Live platform: amaima.live  |  FHE demos: amaima.live/fhe  |  Agent Builder: amaima.live/agent-builder  |  API reference: amaima.live/api-docs  |  Source code: github.com/CreoDAMO/AMAIMA
Enterprise inquiries: Available at Enterprise tier ($299/month). Healthcare, biopharma, and defense pilots welcome.</w:t>
            </w:r>
          </w:p>
        </w:tc>
      </w:tr>
    </w:tbl>
    <w:p>
      <w:pPr>
        <w:spacing w:before="80" w:after="0"/>
      </w:pPr>
      <w:r>
        <w:t xml:space="preserve"/>
      </w:r>
    </w:p>
    <w:p>
      <w:pPr>
        <w:pBdr>
          <w:bottom w:val="single" w:color="1A237E" w:sz="8" w:space="1"/>
        </w:pBdr>
        <w:spacing w:before="160" w:after="160"/>
      </w:pPr>
      <w:r>
        <w:t xml:space="preserve"/>
      </w:r>
    </w:p>
    <w:p>
      <w:pPr>
        <w:pStyle w:val="Heading2"/>
        <w:spacing w:before="360" w:after="120"/>
      </w:pPr>
      <w:r>
        <w:rPr>
          <w:rFonts w:ascii="Arial" w:cs="Arial" w:eastAsia="Arial" w:hAnsi="Arial"/>
          <w:b/>
          <w:bCs/>
          <w:color w:val="1A237E"/>
          <w:sz w:val="28"/>
          <w:szCs w:val="28"/>
        </w:rPr>
        <w:t xml:space="preserve">About the Author</w:t>
      </w:r>
    </w:p>
    <w:p>
      <w:pPr>
        <w:spacing w:before="80" w:after="80"/>
      </w:pPr>
      <w:r>
        <w:rPr>
          <w:rFonts w:ascii="Arial" w:cs="Arial" w:eastAsia="Arial" w:hAnsi="Arial"/>
          <w:color w:val="0A0A0A"/>
          <w:sz w:val="23"/>
          <w:szCs w:val="23"/>
        </w:rPr>
        <w:t xml:space="preserve">Jacque Antoine DeGraff is the solo founder and developer of AMAIMA, built from North Miami, Florida. AMAIMA is an NVIDIA Developer member platform integrating 26 NIM models across six domains with a complete FHE subsystem. Jacque has been reviewed by Claude (Anthropic), Grok (xAI), and Microsoft Copilot — all three independently concluded AMAIMA represents the most complete privacy-preserving multimodal AI platform built by a single developer. Microsoft Copilot, trained on Microsoft's own codebase and Azure infrastructure, reviewed the FHE dashboard directly and called it a career-defining, company-defining implementation.</w:t>
      </w:r>
    </w:p>
    <w:p>
      <w:pPr>
        <w:spacing w:before="40" w:after="0"/>
      </w:pPr>
      <w:r>
        <w:t xml:space="preserve"/>
      </w:r>
    </w:p>
    <w:p>
      <w:pPr>
        <w:spacing w:before="0" w:after="0"/>
      </w:pPr>
      <w:r>
        <w:rPr>
          <w:rFonts w:ascii="Arial" w:cs="Arial" w:eastAsia="Arial" w:hAnsi="Arial"/>
          <w:color w:val="1A237E"/>
          <w:sz w:val="21"/>
          <w:szCs w:val="21"/>
        </w:rPr>
        <w:t xml:space="preserve">Connect: github.com/CreoDAMO/AMAIMA  ·  amaima.live  ·  amaima.live/fhe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0E0E0" w:sz="2" w:space="1"/>
      </w:pBdr>
      <w:spacing w:before="160" w:after="160"/>
    </w:pPr>
    <w:r>
      <w:t xml:space="preserve"/>
    </w:r>
  </w:p>
  <w:p>
    <w:pPr>
      <w:jc w:val="center"/>
    </w:pPr>
    <w:r>
      <w:rPr>
        <w:rFonts w:ascii="Arial" w:cs="Arial" w:eastAsia="Arial" w:hAnsi="Arial"/>
        <w:color w:val="777777"/>
        <w:sz w:val="17"/>
        <w:szCs w:val="17"/>
      </w:rPr>
      <w:t xml:space="preserve">Jacque Antoine DeGraff  ·  AMAIMA  ·  amaima.live  ·  github.com/CreoDAMO/AMAIMA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237E"/>
              <w:sz w:val="19"/>
              <w:szCs w:val="19"/>
            </w:rPr>
            <w:t xml:space="preserve">NVIDIA Developer Blog</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Arial" w:cs="Arial" w:eastAsia="Arial" w:hAnsi="Arial"/>
              <w:color w:val="777777"/>
              <w:sz w:val="19"/>
              <w:szCs w:val="19"/>
            </w:rPr>
            <w:t xml:space="preserve">Submission Draft — February 2026</w:t>
          </w:r>
        </w:p>
      </w:tc>
    </w:tr>
  </w:tbl>
  <w:p>
    <w:pPr>
      <w:pBdr>
        <w:bottom w:val="single" w:color="1A237E" w:sz="4" w:space="1"/>
      </w:pBdr>
      <w:spacing w:before="160" w:after="1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A0A"/>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A237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A0A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2026-02-21T16:15:57.441Z</dcterms:created>
  <dcterms:modified xsi:type="dcterms:W3CDTF">2026-02-21T16:15:57.442Z</dcterms:modified>
</cp:coreProperties>
</file>

<file path=docProps/custom.xml><?xml version="1.0" encoding="utf-8"?>
<Properties xmlns="http://schemas.openxmlformats.org/officeDocument/2006/custom-properties" xmlns:vt="http://schemas.openxmlformats.org/officeDocument/2006/docPropsVTypes"/>
</file>