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pPr>
      <w:r>
        <w:t xml:space="preserve"/>
      </w:r>
    </w:p>
    <w:p>
      <w:pPr>
        <w:spacing w:before="70" w:after="70"/>
        <w:jc w:val="center"/>
      </w:pPr>
      <w:r>
        <w:rPr>
          <w:rFonts w:ascii="Arial" w:cs="Arial" w:eastAsia="Arial" w:hAnsi="Arial"/>
          <w:b/>
          <w:bCs/>
          <w:color w:val="00838F"/>
          <w:sz w:val="88"/>
          <w:szCs w:val="88"/>
        </w:rPr>
        <w:t xml:space="preserve">AMAIMA</w:t>
      </w:r>
    </w:p>
    <w:p>
      <w:pPr>
        <w:spacing w:before="70" w:after="70"/>
        <w:jc w:val="center"/>
      </w:pPr>
      <w:r>
        <w:rPr>
          <w:rFonts w:ascii="Arial" w:cs="Arial" w:eastAsia="Arial" w:hAnsi="Arial"/>
          <w:b/>
          <w:bCs/>
          <w:color w:val="1A2B3C"/>
          <w:sz w:val="26"/>
          <w:szCs w:val="26"/>
        </w:rPr>
        <w:t xml:space="preserve">Advanced Model-Aware AI Management Interface</w:t>
      </w:r>
    </w:p>
    <w:p>
      <w:pPr>
        <w:spacing w:before="70" w:after="70"/>
        <w:jc w:val="center"/>
      </w:pPr>
      <w:r>
        <w:rPr>
          <w:rFonts w:ascii="Arial" w:cs="Arial" w:eastAsia="Arial" w:hAnsi="Arial"/>
          <w:b/>
          <w:bCs/>
          <w:color w:val="1A2B3C"/>
          <w:sz w:val="44"/>
          <w:szCs w:val="44"/>
        </w:rPr>
        <w:t xml:space="preserve">Go-To-Market Targeting Strategy — v5</w:t>
      </w:r>
    </w:p>
    <w:p>
      <w:pPr>
        <w:spacing w:before="70" w:after="70"/>
        <w:jc w:val="center"/>
      </w:pPr>
      <w:r>
        <w:rPr>
          <w:rFonts w:ascii="Arial" w:cs="Arial" w:eastAsia="Arial" w:hAnsi="Arial"/>
          <w:b/>
          <w:bCs/>
          <w:color w:val="00838F"/>
          <w:sz w:val="24"/>
          <w:szCs w:val="24"/>
        </w:rPr>
        <w:t xml:space="preserve">Multimodal · Agentic · Privacy-Preserving · Post-Quantum Secure</w:t>
      </w:r>
    </w:p>
    <w:p>
      <w:pPr>
        <w:spacing w:before="16" w:after="16"/>
        <w:jc w:val="center"/>
      </w:pPr>
      <w:r>
        <w:rPr>
          <w:rFonts w:ascii="Arial" w:cs="Arial" w:eastAsia="Arial" w:hAnsi="Arial"/>
          <w:b/>
          <w:bCs/>
          <w:color w:val="2E7D32"/>
          <w:sz w:val="22"/>
          <w:szCs w:val="22"/>
        </w:rPr>
        <w:t xml:space="preserve">Platform + FHE Confirmed Live — February 2026  |  amaima.live  |  amaima.live/fhe</w:t>
      </w:r>
    </w:p>
    <w:p>
      <w:pPr>
        <w:pBdr>
          <w:bottom w:val="single" w:color="00838F" w:sz="6" w:space="1"/>
        </w:pBdr>
        <w:spacing w:before="200" w:after="200"/>
      </w:pPr>
      <w:r>
        <w:t xml:space="preserve"/>
      </w:r>
    </w:p>
    <w:p>
      <w:pPr>
        <w:spacing w:before="0" w:after="6"/>
        <w:jc w:val="center"/>
      </w:pPr>
      <w:r>
        <w:rPr>
          <w:rFonts w:ascii="Arial" w:cs="Arial" w:eastAsia="Arial" w:hAnsi="Arial"/>
          <w:color w:val="888888"/>
          <w:sz w:val="20"/>
          <w:szCs w:val="20"/>
        </w:rPr>
        <w:t xml:space="preserve">February 2026  |  CONFIDENTIAL</w:t>
      </w:r>
    </w:p>
    <w:p>
      <w:pPr>
        <w:spacing w:before="0" w:after="0"/>
        <w:jc w:val="center"/>
      </w:pPr>
      <w:r>
        <w:rPr>
          <w:rFonts w:ascii="Arial" w:cs="Arial" w:eastAsia="Arial" w:hAnsi="Arial"/>
          <w:color w:val="00838F"/>
          <w:sz w:val="20"/>
          <w:szCs w:val="20"/>
        </w:rPr>
        <w:t xml:space="preserve">Jacque Antoine DeGraff  |  github.com/CreoDAMO/AMAIMA  |  amaima.live</w:t>
      </w:r>
    </w:p>
    <w:p>
      <w:pPr>
        <w:spacing w:before="100" w:after="0"/>
      </w:pPr>
      <w:r>
        <w:t xml:space="preserve"/>
      </w:r>
    </w:p>
    <w:p>
      <w:pPr>
        <w:pStyle w:val="Heading1"/>
        <w:spacing w:before="420" w:after="140"/>
      </w:pPr>
      <w:r>
        <w:rPr>
          <w:rFonts w:ascii="Arial" w:cs="Arial" w:eastAsia="Arial" w:hAnsi="Arial"/>
          <w:b/>
          <w:bCs/>
          <w:color w:val="00838F"/>
          <w:sz w:val="36"/>
          <w:szCs w:val="36"/>
        </w:rPr>
        <w:t xml:space="preserve">Strategic Premise</w:t>
      </w:r>
    </w:p>
    <w:p>
      <w:pPr>
        <w:spacing w:before="55" w:after="55"/>
      </w:pPr>
      <w:r>
        <w:rPr>
          <w:rFonts w:ascii="Arial" w:cs="Arial" w:eastAsia="Arial" w:hAnsi="Arial"/>
          <w:color w:val="1A2B3C"/>
          <w:sz w:val="22"/>
          <w:szCs w:val="22"/>
        </w:rPr>
        <w:t xml:space="preserve">This document translates AMAIMA's confirmed live capabilities into a sequenced, multi-track go-to-market strategy. FHE changes the strategy in two ways: it adds entirely new target tracks (healthcare CISOs, enterprise security buyers, classified government programs) and it upgrades every existing track by adding an encrypted compute angle that no competitor can match.</w:t>
      </w:r>
    </w:p>
    <w:p>
      <w:pPr>
        <w:spacing w:before="40" w:after="0"/>
      </w:pPr>
      <w:r>
        <w:t xml:space="preserve"/>
      </w:r>
    </w:p>
    <w:p>
      <w:pPr>
        <w:spacing w:before="55" w:after="55"/>
      </w:pPr>
      <w:r>
        <w:rPr>
          <w:rFonts w:ascii="Arial" w:cs="Arial" w:eastAsia="Arial" w:hAnsi="Arial"/>
          <w:b/>
          <w:bCs/>
          <w:i/>
          <w:iCs/>
          <w:color w:val="1A2B3C"/>
          <w:sz w:val="22"/>
          <w:szCs w:val="22"/>
        </w:rPr>
        <w:t xml:space="preserve">The platform is not changing. The conversation is. Every door that was previously blocked by data sovereignty, HIPAA, classified data restrictions, or enterprise security compliance is now open.</w:t>
      </w:r>
    </w:p>
    <w:p>
      <w:pPr>
        <w:spacing w:before="80" w:after="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2000"/>
        <w:gridCol w:w="3240"/>
      </w:tblGrid>
      <w:tr>
        <w:tc>
          <w:tcPr>
            <w:tcW w:type="dxa" w:w="290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Target Track</w:t>
            </w:r>
          </w:p>
        </w:tc>
        <w:tc>
          <w:tcPr>
            <w:tcW w:type="dxa" w:w="170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Est. Funding</w:t>
            </w:r>
          </w:p>
        </w:tc>
        <w:tc>
          <w:tcPr>
            <w:tcW w:type="dxa" w:w="200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Valuation Impact</w:t>
            </w:r>
          </w:p>
        </w:tc>
        <w:tc>
          <w:tcPr>
            <w:tcW w:type="dxa" w:w="324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Timeline</w:t>
            </w:r>
          </w:p>
        </w:tc>
      </w:tr>
      <w:tr>
        <w:tc>
          <w:tcPr>
            <w:tcW w:type="dxa" w:w="2900"/>
            <w:tcBorders>
              <w:top w:val="single" w:color="CCDDDF" w:sz="1"/>
              <w:left w:val="single" w:color="CCDDDF" w:sz="1"/>
              <w:bottom w:val="single" w:color="CCDDDF" w:sz="1"/>
              <w:right w:val="single" w:color="CCDDDF" w:sz="1"/>
            </w:tcBorders>
            <w:shd w:fill="E0F4F6" w:val="clear"/>
            <w:tcMar>
              <w:top w:type="dxa" w:w="100"/>
              <w:left w:type="dxa" w:w="120"/>
              <w:bottom w:type="dxa" w:w="100"/>
              <w:right w:type="dxa" w:w="120"/>
            </w:tcMar>
          </w:tcPr>
          <w:p>
            <w:pPr>
              <w:jc w:val="left"/>
            </w:pPr>
            <w:r>
              <w:rPr>
                <w:rFonts w:ascii="Arial" w:cs="Arial" w:eastAsia="Arial" w:hAnsi="Arial"/>
                <w:b/>
                <w:bCs/>
                <w:color w:val="1A2B3C"/>
                <w:sz w:val="19"/>
                <w:szCs w:val="19"/>
              </w:rPr>
              <w:t xml:space="preserve">Track 1: NVIDIA Inception + Credits</w:t>
            </w:r>
          </w:p>
        </w:tc>
        <w:tc>
          <w:tcPr>
            <w:tcW w:type="dxa" w:w="170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center"/>
            </w:pPr>
            <w:r>
              <w:rPr>
                <w:rFonts w:ascii="Arial" w:cs="Arial" w:eastAsia="Arial" w:hAnsi="Arial"/>
                <w:b w:val="false"/>
                <w:bCs w:val="false"/>
                <w:color w:val="1A2B3C"/>
                <w:sz w:val="19"/>
                <w:szCs w:val="19"/>
              </w:rPr>
              <w:t xml:space="preserve">$160K non-dil.</w:t>
            </w:r>
          </w:p>
        </w:tc>
        <w:tc>
          <w:tcPr>
            <w:tcW w:type="dxa" w:w="2000"/>
            <w:tcBorders>
              <w:top w:val="single" w:color="CCDDDF" w:sz="1"/>
              <w:left w:val="single" w:color="CCDDDF" w:sz="1"/>
              <w:bottom w:val="single" w:color="CCDDDF" w:sz="1"/>
              <w:right w:val="single" w:color="CCDDDF" w:sz="1"/>
            </w:tcBorders>
            <w:shd w:fill="E8F5E9" w:val="clear"/>
            <w:tcMar>
              <w:top w:type="dxa" w:w="100"/>
              <w:left w:type="dxa" w:w="120"/>
              <w:bottom w:type="dxa" w:w="100"/>
              <w:right w:type="dxa" w:w="120"/>
            </w:tcMar>
          </w:tcPr>
          <w:p>
            <w:pPr>
              <w:jc w:val="center"/>
            </w:pPr>
            <w:r>
              <w:rPr>
                <w:rFonts w:ascii="Arial" w:cs="Arial" w:eastAsia="Arial" w:hAnsi="Arial"/>
                <w:b w:val="false"/>
                <w:bCs w:val="false"/>
                <w:color w:val="2E7D32"/>
                <w:sz w:val="19"/>
                <w:szCs w:val="19"/>
              </w:rPr>
              <w:t xml:space="preserve">+$2B–$5B NVIDIA stamp</w:t>
            </w:r>
          </w:p>
        </w:tc>
        <w:tc>
          <w:tcPr>
            <w:tcW w:type="dxa" w:w="3240"/>
            <w:tcBorders>
              <w:top w:val="single" w:color="CCDDDF" w:sz="1"/>
              <w:left w:val="single" w:color="CCDDDF" w:sz="1"/>
              <w:bottom w:val="single" w:color="CCDDDF" w:sz="1"/>
              <w:right w:val="single" w:color="CCDDDF" w:sz="1"/>
            </w:tcBorders>
            <w:shd w:fill="FFF8E1" w:val="clear"/>
            <w:tcMar>
              <w:top w:type="dxa" w:w="100"/>
              <w:left w:type="dxa" w:w="120"/>
              <w:bottom w:type="dxa" w:w="100"/>
              <w:right w:type="dxa" w:w="120"/>
            </w:tcMar>
          </w:tcPr>
          <w:p>
            <w:pPr>
              <w:jc w:val="center"/>
            </w:pPr>
            <w:r>
              <w:rPr>
                <w:rFonts w:ascii="Arial" w:cs="Arial" w:eastAsia="Arial" w:hAnsi="Arial"/>
                <w:b w:val="false"/>
                <w:bCs w:val="false"/>
                <w:color w:val="B8860B"/>
                <w:sz w:val="19"/>
                <w:szCs w:val="19"/>
              </w:rPr>
              <w:t xml:space="preserve">This week</w:t>
            </w:r>
          </w:p>
        </w:tc>
      </w:tr>
      <w:tr>
        <w:tc>
          <w:tcPr>
            <w:tcW w:type="dxa" w:w="29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bCs/>
                <w:color w:val="1A2B3C"/>
                <w:sz w:val="19"/>
                <w:szCs w:val="19"/>
              </w:rPr>
              <w:t xml:space="preserve">Track 1: NVIDIA GTC 2026</w:t>
            </w:r>
          </w:p>
        </w:tc>
        <w:tc>
          <w:tcPr>
            <w:tcW w:type="dxa" w:w="17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center"/>
            </w:pPr>
            <w:r>
              <w:rPr>
                <w:rFonts w:ascii="Arial" w:cs="Arial" w:eastAsia="Arial" w:hAnsi="Arial"/>
                <w:b w:val="false"/>
                <w:bCs w:val="false"/>
                <w:color w:val="1A2B3C"/>
                <w:sz w:val="19"/>
                <w:szCs w:val="19"/>
              </w:rPr>
              <w:t xml:space="preserve">Strategic</w:t>
            </w:r>
          </w:p>
        </w:tc>
        <w:tc>
          <w:tcPr>
            <w:tcW w:type="dxa" w:w="2000"/>
            <w:tcBorders>
              <w:top w:val="single" w:color="CCDDDF" w:sz="1"/>
              <w:left w:val="single" w:color="CCDDDF" w:sz="1"/>
              <w:bottom w:val="single" w:color="CCDDDF" w:sz="1"/>
              <w:right w:val="single" w:color="CCDDDF" w:sz="1"/>
            </w:tcBorders>
            <w:shd w:fill="E8F5E9" w:val="clear"/>
            <w:tcMar>
              <w:top w:type="dxa" w:w="100"/>
              <w:left w:type="dxa" w:w="120"/>
              <w:bottom w:type="dxa" w:w="100"/>
              <w:right w:type="dxa" w:w="120"/>
            </w:tcMar>
          </w:tcPr>
          <w:p>
            <w:pPr>
              <w:jc w:val="center"/>
            </w:pPr>
            <w:r>
              <w:rPr>
                <w:rFonts w:ascii="Arial" w:cs="Arial" w:eastAsia="Arial" w:hAnsi="Arial"/>
                <w:b w:val="false"/>
                <w:bCs w:val="false"/>
                <w:color w:val="2E7D32"/>
                <w:sz w:val="19"/>
                <w:szCs w:val="19"/>
              </w:rPr>
              <w:t xml:space="preserve">+$3B–$8B ecosystem</w:t>
            </w:r>
          </w:p>
        </w:tc>
        <w:tc>
          <w:tcPr>
            <w:tcW w:type="dxa" w:w="3240"/>
            <w:tcBorders>
              <w:top w:val="single" w:color="CCDDDF" w:sz="1"/>
              <w:left w:val="single" w:color="CCDDDF" w:sz="1"/>
              <w:bottom w:val="single" w:color="CCDDDF" w:sz="1"/>
              <w:right w:val="single" w:color="CCDDDF" w:sz="1"/>
            </w:tcBorders>
            <w:shd w:fill="FFF8E1" w:val="clear"/>
            <w:tcMar>
              <w:top w:type="dxa" w:w="100"/>
              <w:left w:type="dxa" w:w="120"/>
              <w:bottom w:type="dxa" w:w="100"/>
              <w:right w:type="dxa" w:w="120"/>
            </w:tcMar>
          </w:tcPr>
          <w:p>
            <w:pPr>
              <w:jc w:val="center"/>
            </w:pPr>
            <w:r>
              <w:rPr>
                <w:rFonts w:ascii="Arial" w:cs="Arial" w:eastAsia="Arial" w:hAnsi="Arial"/>
                <w:b w:val="false"/>
                <w:bCs w:val="false"/>
                <w:color w:val="B8860B"/>
                <w:sz w:val="19"/>
                <w:szCs w:val="19"/>
              </w:rPr>
              <w:t xml:space="preserve">March 16–19</w:t>
            </w:r>
          </w:p>
        </w:tc>
      </w:tr>
      <w:tr>
        <w:tc>
          <w:tcPr>
            <w:tcW w:type="dxa" w:w="2900"/>
            <w:tcBorders>
              <w:top w:val="single" w:color="CCDDDF" w:sz="1"/>
              <w:left w:val="single" w:color="CCDDDF" w:sz="1"/>
              <w:bottom w:val="single" w:color="CCDDDF" w:sz="1"/>
              <w:right w:val="single" w:color="CCDDDF" w:sz="1"/>
            </w:tcBorders>
            <w:shd w:fill="E0F4F6" w:val="clear"/>
            <w:tcMar>
              <w:top w:type="dxa" w:w="100"/>
              <w:left w:type="dxa" w:w="120"/>
              <w:bottom w:type="dxa" w:w="100"/>
              <w:right w:type="dxa" w:w="120"/>
            </w:tcMar>
          </w:tcPr>
          <w:p>
            <w:pPr>
              <w:jc w:val="left"/>
            </w:pPr>
            <w:r>
              <w:rPr>
                <w:rFonts w:ascii="Arial" w:cs="Arial" w:eastAsia="Arial" w:hAnsi="Arial"/>
                <w:b/>
                <w:bCs/>
                <w:color w:val="1A2B3C"/>
                <w:sz w:val="19"/>
                <w:szCs w:val="19"/>
              </w:rPr>
              <w:t xml:space="preserve">Track 2: DARPA TTO — Zero-Trust Autonomy</w:t>
            </w:r>
          </w:p>
        </w:tc>
        <w:tc>
          <w:tcPr>
            <w:tcW w:type="dxa" w:w="170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center"/>
            </w:pPr>
            <w:r>
              <w:rPr>
                <w:rFonts w:ascii="Arial" w:cs="Arial" w:eastAsia="Arial" w:hAnsi="Arial"/>
                <w:b w:val="false"/>
                <w:bCs w:val="false"/>
                <w:color w:val="1A2B3C"/>
                <w:sz w:val="19"/>
                <w:szCs w:val="19"/>
              </w:rPr>
              <w:t xml:space="preserve">$500K–$5M</w:t>
            </w:r>
          </w:p>
        </w:tc>
        <w:tc>
          <w:tcPr>
            <w:tcW w:type="dxa" w:w="2000"/>
            <w:tcBorders>
              <w:top w:val="single" w:color="CCDDDF" w:sz="1"/>
              <w:left w:val="single" w:color="CCDDDF" w:sz="1"/>
              <w:bottom w:val="single" w:color="CCDDDF" w:sz="1"/>
              <w:right w:val="single" w:color="CCDDDF" w:sz="1"/>
            </w:tcBorders>
            <w:shd w:fill="E8F5E9" w:val="clear"/>
            <w:tcMar>
              <w:top w:type="dxa" w:w="100"/>
              <w:left w:type="dxa" w:w="120"/>
              <w:bottom w:type="dxa" w:w="100"/>
              <w:right w:type="dxa" w:w="120"/>
            </w:tcMar>
          </w:tcPr>
          <w:p>
            <w:pPr>
              <w:jc w:val="center"/>
            </w:pPr>
            <w:r>
              <w:rPr>
                <w:rFonts w:ascii="Arial" w:cs="Arial" w:eastAsia="Arial" w:hAnsi="Arial"/>
                <w:b w:val="false"/>
                <w:bCs w:val="false"/>
                <w:color w:val="2E7D32"/>
                <w:sz w:val="19"/>
                <w:szCs w:val="19"/>
              </w:rPr>
              <w:t xml:space="preserve">+$3B–$8B DoD moat</w:t>
            </w:r>
          </w:p>
        </w:tc>
        <w:tc>
          <w:tcPr>
            <w:tcW w:type="dxa" w:w="3240"/>
            <w:tcBorders>
              <w:top w:val="single" w:color="CCDDDF" w:sz="1"/>
              <w:left w:val="single" w:color="CCDDDF" w:sz="1"/>
              <w:bottom w:val="single" w:color="CCDDDF" w:sz="1"/>
              <w:right w:val="single" w:color="CCDDDF" w:sz="1"/>
            </w:tcBorders>
            <w:shd w:fill="FFF8E1" w:val="clear"/>
            <w:tcMar>
              <w:top w:type="dxa" w:w="100"/>
              <w:left w:type="dxa" w:w="120"/>
              <w:bottom w:type="dxa" w:w="100"/>
              <w:right w:type="dxa" w:w="120"/>
            </w:tcMar>
          </w:tcPr>
          <w:p>
            <w:pPr>
              <w:jc w:val="center"/>
            </w:pPr>
            <w:r>
              <w:rPr>
                <w:rFonts w:ascii="Arial" w:cs="Arial" w:eastAsia="Arial" w:hAnsi="Arial"/>
                <w:b w:val="false"/>
                <w:bCs w:val="false"/>
                <w:color w:val="B8860B"/>
                <w:sz w:val="19"/>
                <w:szCs w:val="19"/>
              </w:rPr>
              <w:t xml:space="preserve">April 17, 2026</w:t>
            </w:r>
          </w:p>
        </w:tc>
      </w:tr>
      <w:tr>
        <w:tc>
          <w:tcPr>
            <w:tcW w:type="dxa" w:w="29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bCs/>
                <w:color w:val="1A2B3C"/>
                <w:sz w:val="19"/>
                <w:szCs w:val="19"/>
              </w:rPr>
              <w:t xml:space="preserve">Track 2: USSOCOM — Encrypted Swarm</w:t>
            </w:r>
          </w:p>
        </w:tc>
        <w:tc>
          <w:tcPr>
            <w:tcW w:type="dxa" w:w="17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center"/>
            </w:pPr>
            <w:r>
              <w:rPr>
                <w:rFonts w:ascii="Arial" w:cs="Arial" w:eastAsia="Arial" w:hAnsi="Arial"/>
                <w:b w:val="false"/>
                <w:bCs w:val="false"/>
                <w:color w:val="1A2B3C"/>
                <w:sz w:val="19"/>
                <w:szCs w:val="19"/>
              </w:rPr>
              <w:t xml:space="preserve">$500K–$5M</w:t>
            </w:r>
          </w:p>
        </w:tc>
        <w:tc>
          <w:tcPr>
            <w:tcW w:type="dxa" w:w="2000"/>
            <w:tcBorders>
              <w:top w:val="single" w:color="CCDDDF" w:sz="1"/>
              <w:left w:val="single" w:color="CCDDDF" w:sz="1"/>
              <w:bottom w:val="single" w:color="CCDDDF" w:sz="1"/>
              <w:right w:val="single" w:color="CCDDDF" w:sz="1"/>
            </w:tcBorders>
            <w:shd w:fill="E8F5E9" w:val="clear"/>
            <w:tcMar>
              <w:top w:type="dxa" w:w="100"/>
              <w:left w:type="dxa" w:w="120"/>
              <w:bottom w:type="dxa" w:w="100"/>
              <w:right w:type="dxa" w:w="120"/>
            </w:tcMar>
          </w:tcPr>
          <w:p>
            <w:pPr>
              <w:jc w:val="center"/>
            </w:pPr>
            <w:r>
              <w:rPr>
                <w:rFonts w:ascii="Arial" w:cs="Arial" w:eastAsia="Arial" w:hAnsi="Arial"/>
                <w:b w:val="false"/>
                <w:bCs w:val="false"/>
                <w:color w:val="2E7D32"/>
                <w:sz w:val="19"/>
                <w:szCs w:val="19"/>
              </w:rPr>
              <w:t xml:space="preserve">+$3B–$8B defense</w:t>
            </w:r>
          </w:p>
        </w:tc>
        <w:tc>
          <w:tcPr>
            <w:tcW w:type="dxa" w:w="3240"/>
            <w:tcBorders>
              <w:top w:val="single" w:color="CCDDDF" w:sz="1"/>
              <w:left w:val="single" w:color="CCDDDF" w:sz="1"/>
              <w:bottom w:val="single" w:color="CCDDDF" w:sz="1"/>
              <w:right w:val="single" w:color="CCDDDF" w:sz="1"/>
            </w:tcBorders>
            <w:shd w:fill="FFF8E1" w:val="clear"/>
            <w:tcMar>
              <w:top w:type="dxa" w:w="100"/>
              <w:left w:type="dxa" w:w="120"/>
              <w:bottom w:type="dxa" w:w="100"/>
              <w:right w:type="dxa" w:w="120"/>
            </w:tcMar>
          </w:tcPr>
          <w:p>
            <w:pPr>
              <w:jc w:val="center"/>
            </w:pPr>
            <w:r>
              <w:rPr>
                <w:rFonts w:ascii="Arial" w:cs="Arial" w:eastAsia="Arial" w:hAnsi="Arial"/>
                <w:b w:val="false"/>
                <w:bCs w:val="false"/>
                <w:color w:val="B8860B"/>
                <w:sz w:val="19"/>
                <w:szCs w:val="19"/>
              </w:rPr>
              <w:t xml:space="preserve">May 15, 2026</w:t>
            </w:r>
          </w:p>
        </w:tc>
      </w:tr>
      <w:tr>
        <w:tc>
          <w:tcPr>
            <w:tcW w:type="dxa" w:w="2900"/>
            <w:tcBorders>
              <w:top w:val="single" w:color="CCDDDF" w:sz="1"/>
              <w:left w:val="single" w:color="CCDDDF" w:sz="1"/>
              <w:bottom w:val="single" w:color="CCDDDF" w:sz="1"/>
              <w:right w:val="single" w:color="CCDDDF" w:sz="1"/>
            </w:tcBorders>
            <w:shd w:fill="E0F4F6" w:val="clear"/>
            <w:tcMar>
              <w:top w:type="dxa" w:w="100"/>
              <w:left w:type="dxa" w:w="120"/>
              <w:bottom w:type="dxa" w:w="100"/>
              <w:right w:type="dxa" w:w="120"/>
            </w:tcMar>
          </w:tcPr>
          <w:p>
            <w:pPr>
              <w:jc w:val="left"/>
            </w:pPr>
            <w:r>
              <w:rPr>
                <w:rFonts w:ascii="Arial" w:cs="Arial" w:eastAsia="Arial" w:hAnsi="Arial"/>
                <w:b/>
                <w:bCs/>
                <w:color w:val="1A2B3C"/>
                <w:sz w:val="19"/>
                <w:szCs w:val="19"/>
              </w:rPr>
              <w:t xml:space="preserve">Track 2: DARPA BTO — Encrypted Biodefense</w:t>
            </w:r>
          </w:p>
        </w:tc>
        <w:tc>
          <w:tcPr>
            <w:tcW w:type="dxa" w:w="170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center"/>
            </w:pPr>
            <w:r>
              <w:rPr>
                <w:rFonts w:ascii="Arial" w:cs="Arial" w:eastAsia="Arial" w:hAnsi="Arial"/>
                <w:b w:val="false"/>
                <w:bCs w:val="false"/>
                <w:color w:val="1A2B3C"/>
                <w:sz w:val="19"/>
                <w:szCs w:val="19"/>
              </w:rPr>
              <w:t xml:space="preserve">$2M–$5M+</w:t>
            </w:r>
          </w:p>
        </w:tc>
        <w:tc>
          <w:tcPr>
            <w:tcW w:type="dxa" w:w="2000"/>
            <w:tcBorders>
              <w:top w:val="single" w:color="CCDDDF" w:sz="1"/>
              <w:left w:val="single" w:color="CCDDDF" w:sz="1"/>
              <w:bottom w:val="single" w:color="CCDDDF" w:sz="1"/>
              <w:right w:val="single" w:color="CCDDDF" w:sz="1"/>
            </w:tcBorders>
            <w:shd w:fill="E8F5E9" w:val="clear"/>
            <w:tcMar>
              <w:top w:type="dxa" w:w="100"/>
              <w:left w:type="dxa" w:w="120"/>
              <w:bottom w:type="dxa" w:w="100"/>
              <w:right w:type="dxa" w:w="120"/>
            </w:tcMar>
          </w:tcPr>
          <w:p>
            <w:pPr>
              <w:jc w:val="center"/>
            </w:pPr>
            <w:r>
              <w:rPr>
                <w:rFonts w:ascii="Arial" w:cs="Arial" w:eastAsia="Arial" w:hAnsi="Arial"/>
                <w:b w:val="false"/>
                <w:bCs w:val="false"/>
                <w:color w:val="2E7D32"/>
                <w:sz w:val="19"/>
                <w:szCs w:val="19"/>
              </w:rPr>
              <w:t xml:space="preserve">+$5B–$10B bio-sec</w:t>
            </w:r>
          </w:p>
        </w:tc>
        <w:tc>
          <w:tcPr>
            <w:tcW w:type="dxa" w:w="3240"/>
            <w:tcBorders>
              <w:top w:val="single" w:color="CCDDDF" w:sz="1"/>
              <w:left w:val="single" w:color="CCDDDF" w:sz="1"/>
              <w:bottom w:val="single" w:color="CCDDDF" w:sz="1"/>
              <w:right w:val="single" w:color="CCDDDF" w:sz="1"/>
            </w:tcBorders>
            <w:shd w:fill="FFF8E1" w:val="clear"/>
            <w:tcMar>
              <w:top w:type="dxa" w:w="100"/>
              <w:left w:type="dxa" w:w="120"/>
              <w:bottom w:type="dxa" w:w="100"/>
              <w:right w:type="dxa" w:w="120"/>
            </w:tcMar>
          </w:tcPr>
          <w:p>
            <w:pPr>
              <w:jc w:val="center"/>
            </w:pPr>
            <w:r>
              <w:rPr>
                <w:rFonts w:ascii="Arial" w:cs="Arial" w:eastAsia="Arial" w:hAnsi="Arial"/>
                <w:b w:val="false"/>
                <w:bCs w:val="false"/>
                <w:color w:val="B8860B"/>
                <w:sz w:val="19"/>
                <w:szCs w:val="19"/>
              </w:rPr>
              <w:t xml:space="preserve">Sept 30, 2026</w:t>
            </w:r>
          </w:p>
        </w:tc>
      </w:tr>
      <w:tr>
        <w:tc>
          <w:tcPr>
            <w:tcW w:type="dxa" w:w="29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bCs/>
                <w:color w:val="1A2B3C"/>
                <w:sz w:val="19"/>
                <w:szCs w:val="19"/>
              </w:rPr>
              <w:t xml:space="preserve">Track 3: Biopharma — Encrypted Drug Discovery</w:t>
            </w:r>
          </w:p>
        </w:tc>
        <w:tc>
          <w:tcPr>
            <w:tcW w:type="dxa" w:w="17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center"/>
            </w:pPr>
            <w:r>
              <w:rPr>
                <w:rFonts w:ascii="Arial" w:cs="Arial" w:eastAsia="Arial" w:hAnsi="Arial"/>
                <w:b w:val="false"/>
                <w:bCs w:val="false"/>
                <w:color w:val="1A2B3C"/>
                <w:sz w:val="19"/>
                <w:szCs w:val="19"/>
              </w:rPr>
              <w:t xml:space="preserve">$299K–$2M ARR</w:t>
            </w:r>
          </w:p>
        </w:tc>
        <w:tc>
          <w:tcPr>
            <w:tcW w:type="dxa" w:w="2000"/>
            <w:tcBorders>
              <w:top w:val="single" w:color="CCDDDF" w:sz="1"/>
              <w:left w:val="single" w:color="CCDDDF" w:sz="1"/>
              <w:bottom w:val="single" w:color="CCDDDF" w:sz="1"/>
              <w:right w:val="single" w:color="CCDDDF" w:sz="1"/>
            </w:tcBorders>
            <w:shd w:fill="E8F5E9" w:val="clear"/>
            <w:tcMar>
              <w:top w:type="dxa" w:w="100"/>
              <w:left w:type="dxa" w:w="120"/>
              <w:bottom w:type="dxa" w:w="100"/>
              <w:right w:type="dxa" w:w="120"/>
            </w:tcMar>
          </w:tcPr>
          <w:p>
            <w:pPr>
              <w:jc w:val="center"/>
            </w:pPr>
            <w:r>
              <w:rPr>
                <w:rFonts w:ascii="Arial" w:cs="Arial" w:eastAsia="Arial" w:hAnsi="Arial"/>
                <w:b w:val="false"/>
                <w:bCs w:val="false"/>
                <w:color w:val="2E7D32"/>
                <w:sz w:val="19"/>
                <w:szCs w:val="19"/>
              </w:rPr>
              <w:t xml:space="preserve">+$8B–$15B 1st revenue</w:t>
            </w:r>
          </w:p>
        </w:tc>
        <w:tc>
          <w:tcPr>
            <w:tcW w:type="dxa" w:w="3240"/>
            <w:tcBorders>
              <w:top w:val="single" w:color="CCDDDF" w:sz="1"/>
              <w:left w:val="single" w:color="CCDDDF" w:sz="1"/>
              <w:bottom w:val="single" w:color="CCDDDF" w:sz="1"/>
              <w:right w:val="single" w:color="CCDDDF" w:sz="1"/>
            </w:tcBorders>
            <w:shd w:fill="FFF8E1" w:val="clear"/>
            <w:tcMar>
              <w:top w:type="dxa" w:w="100"/>
              <w:left w:type="dxa" w:w="120"/>
              <w:bottom w:type="dxa" w:w="100"/>
              <w:right w:type="dxa" w:w="120"/>
            </w:tcMar>
          </w:tcPr>
          <w:p>
            <w:pPr>
              <w:jc w:val="center"/>
            </w:pPr>
            <w:r>
              <w:rPr>
                <w:rFonts w:ascii="Arial" w:cs="Arial" w:eastAsia="Arial" w:hAnsi="Arial"/>
                <w:b w:val="false"/>
                <w:bCs w:val="false"/>
                <w:color w:val="B8860B"/>
                <w:sz w:val="19"/>
                <w:szCs w:val="19"/>
              </w:rPr>
              <w:t xml:space="preserve">Q1–Q2 2026</w:t>
            </w:r>
          </w:p>
        </w:tc>
      </w:tr>
      <w:tr>
        <w:tc>
          <w:tcPr>
            <w:tcW w:type="dxa" w:w="2900"/>
            <w:tcBorders>
              <w:top w:val="single" w:color="CCDDDF" w:sz="1"/>
              <w:left w:val="single" w:color="CCDDDF" w:sz="1"/>
              <w:bottom w:val="single" w:color="CCDDDF" w:sz="1"/>
              <w:right w:val="single" w:color="CCDDDF" w:sz="1"/>
            </w:tcBorders>
            <w:shd w:fill="E0F4F6" w:val="clear"/>
            <w:tcMar>
              <w:top w:type="dxa" w:w="100"/>
              <w:left w:type="dxa" w:w="120"/>
              <w:bottom w:type="dxa" w:w="100"/>
              <w:right w:type="dxa" w:w="120"/>
            </w:tcMar>
          </w:tcPr>
          <w:p>
            <w:pPr>
              <w:jc w:val="left"/>
            </w:pPr>
            <w:r>
              <w:rPr>
                <w:rFonts w:ascii="Arial" w:cs="Arial" w:eastAsia="Arial" w:hAnsi="Arial"/>
                <w:b/>
                <w:bCs/>
                <w:color w:val="1A2B3C"/>
                <w:sz w:val="19"/>
                <w:szCs w:val="19"/>
              </w:rPr>
              <w:t xml:space="preserve">Track 4: Speech AI Enterprise</w:t>
            </w:r>
          </w:p>
        </w:tc>
        <w:tc>
          <w:tcPr>
            <w:tcW w:type="dxa" w:w="170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center"/>
            </w:pPr>
            <w:r>
              <w:rPr>
                <w:rFonts w:ascii="Arial" w:cs="Arial" w:eastAsia="Arial" w:hAnsi="Arial"/>
                <w:b w:val="false"/>
                <w:bCs w:val="false"/>
                <w:color w:val="1A2B3C"/>
                <w:sz w:val="19"/>
                <w:szCs w:val="19"/>
              </w:rPr>
              <w:t xml:space="preserve">$100K–$1M ARR</w:t>
            </w:r>
          </w:p>
        </w:tc>
        <w:tc>
          <w:tcPr>
            <w:tcW w:type="dxa" w:w="2000"/>
            <w:tcBorders>
              <w:top w:val="single" w:color="CCDDDF" w:sz="1"/>
              <w:left w:val="single" w:color="CCDDDF" w:sz="1"/>
              <w:bottom w:val="single" w:color="CCDDDF" w:sz="1"/>
              <w:right w:val="single" w:color="CCDDDF" w:sz="1"/>
            </w:tcBorders>
            <w:shd w:fill="E8F5E9" w:val="clear"/>
            <w:tcMar>
              <w:top w:type="dxa" w:w="100"/>
              <w:left w:type="dxa" w:w="120"/>
              <w:bottom w:type="dxa" w:w="100"/>
              <w:right w:type="dxa" w:w="120"/>
            </w:tcMar>
          </w:tcPr>
          <w:p>
            <w:pPr>
              <w:jc w:val="center"/>
            </w:pPr>
            <w:r>
              <w:rPr>
                <w:rFonts w:ascii="Arial" w:cs="Arial" w:eastAsia="Arial" w:hAnsi="Arial"/>
                <w:b w:val="false"/>
                <w:bCs w:val="false"/>
                <w:color w:val="2E7D32"/>
                <w:sz w:val="19"/>
                <w:szCs w:val="19"/>
              </w:rPr>
              <w:t xml:space="preserve">+$3B–$8B wedge</w:t>
            </w:r>
          </w:p>
        </w:tc>
        <w:tc>
          <w:tcPr>
            <w:tcW w:type="dxa" w:w="3240"/>
            <w:tcBorders>
              <w:top w:val="single" w:color="CCDDDF" w:sz="1"/>
              <w:left w:val="single" w:color="CCDDDF" w:sz="1"/>
              <w:bottom w:val="single" w:color="CCDDDF" w:sz="1"/>
              <w:right w:val="single" w:color="CCDDDF" w:sz="1"/>
            </w:tcBorders>
            <w:shd w:fill="FFF8E1" w:val="clear"/>
            <w:tcMar>
              <w:top w:type="dxa" w:w="100"/>
              <w:left w:type="dxa" w:w="120"/>
              <w:bottom w:type="dxa" w:w="100"/>
              <w:right w:type="dxa" w:w="120"/>
            </w:tcMar>
          </w:tcPr>
          <w:p>
            <w:pPr>
              <w:jc w:val="center"/>
            </w:pPr>
            <w:r>
              <w:rPr>
                <w:rFonts w:ascii="Arial" w:cs="Arial" w:eastAsia="Arial" w:hAnsi="Arial"/>
                <w:b w:val="false"/>
                <w:bCs w:val="false"/>
                <w:color w:val="B8860B"/>
                <w:sz w:val="19"/>
                <w:szCs w:val="19"/>
              </w:rPr>
              <w:t xml:space="preserve">Q1–Q2 2026</w:t>
            </w:r>
          </w:p>
        </w:tc>
      </w:tr>
      <w:tr>
        <w:tc>
          <w:tcPr>
            <w:tcW w:type="dxa" w:w="2900"/>
            <w:tcBorders>
              <w:top w:val="single" w:color="CCDDDF" w:sz="1"/>
              <w:left w:val="single" w:color="CCDDDF" w:sz="1"/>
              <w:bottom w:val="single" w:color="CCDDDF" w:sz="1"/>
              <w:right w:val="single" w:color="CCDDDF" w:sz="1"/>
            </w:tcBorders>
            <w:shd w:fill="F3E5F5" w:val="clear"/>
            <w:tcMar>
              <w:top w:type="dxa" w:w="100"/>
              <w:left w:type="dxa" w:w="120"/>
              <w:bottom w:type="dxa" w:w="100"/>
              <w:right w:type="dxa" w:w="120"/>
            </w:tcMar>
          </w:tcPr>
          <w:p>
            <w:pPr>
              <w:jc w:val="left"/>
            </w:pPr>
            <w:r>
              <w:rPr>
                <w:rFonts w:ascii="Arial" w:cs="Arial" w:eastAsia="Arial" w:hAnsi="Arial"/>
                <w:b/>
                <w:bCs/>
                <w:color w:val="1A2B3C"/>
                <w:sz w:val="19"/>
                <w:szCs w:val="19"/>
              </w:rPr>
              <w:t xml:space="preserve">★ Track 5: Healthcare CISOs — FHE NEW</w:t>
            </w:r>
          </w:p>
        </w:tc>
        <w:tc>
          <w:tcPr>
            <w:tcW w:type="dxa" w:w="1700"/>
            <w:tcBorders>
              <w:top w:val="single" w:color="CCDDDF" w:sz="1"/>
              <w:left w:val="single" w:color="CCDDDF" w:sz="1"/>
              <w:bottom w:val="single" w:color="CCDDDF" w:sz="1"/>
              <w:right w:val="single" w:color="CCDDDF" w:sz="1"/>
            </w:tcBorders>
            <w:shd w:fill="F3E5F5" w:val="clear"/>
            <w:tcMar>
              <w:top w:type="dxa" w:w="100"/>
              <w:left w:type="dxa" w:w="120"/>
              <w:bottom w:type="dxa" w:w="100"/>
              <w:right w:type="dxa" w:w="120"/>
            </w:tcMar>
          </w:tcPr>
          <w:p>
            <w:pPr>
              <w:jc w:val="center"/>
            </w:pPr>
            <w:r>
              <w:rPr>
                <w:rFonts w:ascii="Arial" w:cs="Arial" w:eastAsia="Arial" w:hAnsi="Arial"/>
                <w:b w:val="false"/>
                <w:bCs w:val="false"/>
                <w:color w:val="4A0080"/>
                <w:sz w:val="19"/>
                <w:szCs w:val="19"/>
              </w:rPr>
              <w:t xml:space="preserve">$500K–$5M ARR</w:t>
            </w:r>
          </w:p>
        </w:tc>
        <w:tc>
          <w:tcPr>
            <w:tcW w:type="dxa" w:w="2000"/>
            <w:tcBorders>
              <w:top w:val="single" w:color="CCDDDF" w:sz="1"/>
              <w:left w:val="single" w:color="CCDDDF" w:sz="1"/>
              <w:bottom w:val="single" w:color="CCDDDF" w:sz="1"/>
              <w:right w:val="single" w:color="CCDDDF" w:sz="1"/>
            </w:tcBorders>
            <w:shd w:fill="F3E5F5" w:val="clear"/>
            <w:tcMar>
              <w:top w:type="dxa" w:w="100"/>
              <w:left w:type="dxa" w:w="120"/>
              <w:bottom w:type="dxa" w:w="100"/>
              <w:right w:type="dxa" w:w="120"/>
            </w:tcMar>
          </w:tcPr>
          <w:p>
            <w:pPr>
              <w:jc w:val="center"/>
            </w:pPr>
            <w:r>
              <w:rPr>
                <w:rFonts w:ascii="Arial" w:cs="Arial" w:eastAsia="Arial" w:hAnsi="Arial"/>
                <w:b w:val="false"/>
                <w:bCs w:val="false"/>
                <w:color w:val="4A0080"/>
                <w:sz w:val="19"/>
                <w:szCs w:val="19"/>
              </w:rPr>
              <w:t xml:space="preserve">+$5B–$12B healthcare</w:t>
            </w:r>
          </w:p>
        </w:tc>
        <w:tc>
          <w:tcPr>
            <w:tcW w:type="dxa" w:w="3240"/>
            <w:tcBorders>
              <w:top w:val="single" w:color="CCDDDF" w:sz="1"/>
              <w:left w:val="single" w:color="CCDDDF" w:sz="1"/>
              <w:bottom w:val="single" w:color="CCDDDF" w:sz="1"/>
              <w:right w:val="single" w:color="CCDDDF" w:sz="1"/>
            </w:tcBorders>
            <w:shd w:fill="F3E5F5" w:val="clear"/>
            <w:tcMar>
              <w:top w:type="dxa" w:w="100"/>
              <w:left w:type="dxa" w:w="120"/>
              <w:bottom w:type="dxa" w:w="100"/>
              <w:right w:type="dxa" w:w="120"/>
            </w:tcMar>
          </w:tcPr>
          <w:p>
            <w:pPr>
              <w:jc w:val="center"/>
            </w:pPr>
            <w:r>
              <w:rPr>
                <w:rFonts w:ascii="Arial" w:cs="Arial" w:eastAsia="Arial" w:hAnsi="Arial"/>
                <w:b w:val="false"/>
                <w:bCs w:val="false"/>
                <w:color w:val="4A0080"/>
                <w:sz w:val="19"/>
                <w:szCs w:val="19"/>
              </w:rPr>
              <w:t xml:space="preserve">Q1–Q2 2026</w:t>
            </w:r>
          </w:p>
        </w:tc>
      </w:tr>
      <w:tr>
        <w:tc>
          <w:tcPr>
            <w:tcW w:type="dxa" w:w="2900"/>
            <w:tcBorders>
              <w:top w:val="single" w:color="CCDDDF" w:sz="1"/>
              <w:left w:val="single" w:color="CCDDDF" w:sz="1"/>
              <w:bottom w:val="single" w:color="CCDDDF" w:sz="1"/>
              <w:right w:val="single" w:color="CCDDDF" w:sz="1"/>
            </w:tcBorders>
            <w:shd w:fill="F3E5F5" w:val="clear"/>
            <w:tcMar>
              <w:top w:type="dxa" w:w="100"/>
              <w:left w:type="dxa" w:w="120"/>
              <w:bottom w:type="dxa" w:w="100"/>
              <w:right w:type="dxa" w:w="120"/>
            </w:tcMar>
          </w:tcPr>
          <w:p>
            <w:pPr>
              <w:jc w:val="left"/>
            </w:pPr>
            <w:r>
              <w:rPr>
                <w:rFonts w:ascii="Arial" w:cs="Arial" w:eastAsia="Arial" w:hAnsi="Arial"/>
                <w:b/>
                <w:bCs/>
                <w:color w:val="1A2B3C"/>
                <w:sz w:val="19"/>
                <w:szCs w:val="19"/>
              </w:rPr>
              <w:t xml:space="preserve">★ Track 5: Enterprise Security / Fortune 500</w:t>
            </w:r>
          </w:p>
        </w:tc>
        <w:tc>
          <w:tcPr>
            <w:tcW w:type="dxa" w:w="1700"/>
            <w:tcBorders>
              <w:top w:val="single" w:color="CCDDDF" w:sz="1"/>
              <w:left w:val="single" w:color="CCDDDF" w:sz="1"/>
              <w:bottom w:val="single" w:color="CCDDDF" w:sz="1"/>
              <w:right w:val="single" w:color="CCDDDF" w:sz="1"/>
            </w:tcBorders>
            <w:shd w:fill="F3E5F5" w:val="clear"/>
            <w:tcMar>
              <w:top w:type="dxa" w:w="100"/>
              <w:left w:type="dxa" w:w="120"/>
              <w:bottom w:type="dxa" w:w="100"/>
              <w:right w:type="dxa" w:w="120"/>
            </w:tcMar>
          </w:tcPr>
          <w:p>
            <w:pPr>
              <w:jc w:val="center"/>
            </w:pPr>
            <w:r>
              <w:rPr>
                <w:rFonts w:ascii="Arial" w:cs="Arial" w:eastAsia="Arial" w:hAnsi="Arial"/>
                <w:b w:val="false"/>
                <w:bCs w:val="false"/>
                <w:color w:val="4A0080"/>
                <w:sz w:val="19"/>
                <w:szCs w:val="19"/>
              </w:rPr>
              <w:t xml:space="preserve">$250K–$2M ARR</w:t>
            </w:r>
          </w:p>
        </w:tc>
        <w:tc>
          <w:tcPr>
            <w:tcW w:type="dxa" w:w="2000"/>
            <w:tcBorders>
              <w:top w:val="single" w:color="CCDDDF" w:sz="1"/>
              <w:left w:val="single" w:color="CCDDDF" w:sz="1"/>
              <w:bottom w:val="single" w:color="CCDDDF" w:sz="1"/>
              <w:right w:val="single" w:color="CCDDDF" w:sz="1"/>
            </w:tcBorders>
            <w:shd w:fill="F3E5F5" w:val="clear"/>
            <w:tcMar>
              <w:top w:type="dxa" w:w="100"/>
              <w:left w:type="dxa" w:w="120"/>
              <w:bottom w:type="dxa" w:w="100"/>
              <w:right w:type="dxa" w:w="120"/>
            </w:tcMar>
          </w:tcPr>
          <w:p>
            <w:pPr>
              <w:jc w:val="center"/>
            </w:pPr>
            <w:r>
              <w:rPr>
                <w:rFonts w:ascii="Arial" w:cs="Arial" w:eastAsia="Arial" w:hAnsi="Arial"/>
                <w:b w:val="false"/>
                <w:bCs w:val="false"/>
                <w:color w:val="4A0080"/>
                <w:sz w:val="19"/>
                <w:szCs w:val="19"/>
              </w:rPr>
              <w:t xml:space="preserve">+$3B–$8B compliance</w:t>
            </w:r>
          </w:p>
        </w:tc>
        <w:tc>
          <w:tcPr>
            <w:tcW w:type="dxa" w:w="3240"/>
            <w:tcBorders>
              <w:top w:val="single" w:color="CCDDDF" w:sz="1"/>
              <w:left w:val="single" w:color="CCDDDF" w:sz="1"/>
              <w:bottom w:val="single" w:color="CCDDDF" w:sz="1"/>
              <w:right w:val="single" w:color="CCDDDF" w:sz="1"/>
            </w:tcBorders>
            <w:shd w:fill="F3E5F5" w:val="clear"/>
            <w:tcMar>
              <w:top w:type="dxa" w:w="100"/>
              <w:left w:type="dxa" w:w="120"/>
              <w:bottom w:type="dxa" w:w="100"/>
              <w:right w:type="dxa" w:w="120"/>
            </w:tcMar>
          </w:tcPr>
          <w:p>
            <w:pPr>
              <w:jc w:val="center"/>
            </w:pPr>
            <w:r>
              <w:rPr>
                <w:rFonts w:ascii="Arial" w:cs="Arial" w:eastAsia="Arial" w:hAnsi="Arial"/>
                <w:b w:val="false"/>
                <w:bCs w:val="false"/>
                <w:color w:val="4A0080"/>
                <w:sz w:val="19"/>
                <w:szCs w:val="19"/>
              </w:rPr>
              <w:t xml:space="preserve">Q1–Q2 2026</w:t>
            </w:r>
          </w:p>
        </w:tc>
      </w:tr>
      <w:tr>
        <w:tc>
          <w:tcPr>
            <w:tcW w:type="dxa" w:w="2900"/>
            <w:tcBorders>
              <w:top w:val="single" w:color="CCDDDF" w:sz="1"/>
              <w:left w:val="single" w:color="CCDDDF" w:sz="1"/>
              <w:bottom w:val="single" w:color="CCDDDF" w:sz="1"/>
              <w:right w:val="single" w:color="CCDDDF" w:sz="1"/>
            </w:tcBorders>
            <w:shd w:fill="F3E5F5" w:val="clear"/>
            <w:tcMar>
              <w:top w:type="dxa" w:w="100"/>
              <w:left w:type="dxa" w:w="120"/>
              <w:bottom w:type="dxa" w:w="100"/>
              <w:right w:type="dxa" w:w="120"/>
            </w:tcMar>
          </w:tcPr>
          <w:p>
            <w:pPr>
              <w:jc w:val="left"/>
            </w:pPr>
            <w:r>
              <w:rPr>
                <w:rFonts w:ascii="Arial" w:cs="Arial" w:eastAsia="Arial" w:hAnsi="Arial"/>
                <w:b/>
                <w:bCs/>
                <w:color w:val="1A2B3C"/>
                <w:sz w:val="19"/>
                <w:szCs w:val="19"/>
              </w:rPr>
              <w:t xml:space="preserve">★ Track 5: Microsoft Azure — FHE NEW</w:t>
            </w:r>
          </w:p>
        </w:tc>
        <w:tc>
          <w:tcPr>
            <w:tcW w:type="dxa" w:w="1700"/>
            <w:tcBorders>
              <w:top w:val="single" w:color="CCDDDF" w:sz="1"/>
              <w:left w:val="single" w:color="CCDDDF" w:sz="1"/>
              <w:bottom w:val="single" w:color="CCDDDF" w:sz="1"/>
              <w:right w:val="single" w:color="CCDDDF" w:sz="1"/>
            </w:tcBorders>
            <w:shd w:fill="F3E5F5" w:val="clear"/>
            <w:tcMar>
              <w:top w:type="dxa" w:w="100"/>
              <w:left w:type="dxa" w:w="120"/>
              <w:bottom w:type="dxa" w:w="100"/>
              <w:right w:type="dxa" w:w="120"/>
            </w:tcMar>
          </w:tcPr>
          <w:p>
            <w:pPr>
              <w:jc w:val="center"/>
            </w:pPr>
            <w:r>
              <w:rPr>
                <w:rFonts w:ascii="Arial" w:cs="Arial" w:eastAsia="Arial" w:hAnsi="Arial"/>
                <w:b w:val="false"/>
                <w:bCs w:val="false"/>
                <w:color w:val="4A0080"/>
                <w:sz w:val="19"/>
                <w:szCs w:val="19"/>
              </w:rPr>
              <w:t xml:space="preserve">Strategic acquirer</w:t>
            </w:r>
          </w:p>
        </w:tc>
        <w:tc>
          <w:tcPr>
            <w:tcW w:type="dxa" w:w="2000"/>
            <w:tcBorders>
              <w:top w:val="single" w:color="CCDDDF" w:sz="1"/>
              <w:left w:val="single" w:color="CCDDDF" w:sz="1"/>
              <w:bottom w:val="single" w:color="CCDDDF" w:sz="1"/>
              <w:right w:val="single" w:color="CCDDDF" w:sz="1"/>
            </w:tcBorders>
            <w:shd w:fill="F3E5F5" w:val="clear"/>
            <w:tcMar>
              <w:top w:type="dxa" w:w="100"/>
              <w:left w:type="dxa" w:w="120"/>
              <w:bottom w:type="dxa" w:w="100"/>
              <w:right w:type="dxa" w:w="120"/>
            </w:tcMar>
          </w:tcPr>
          <w:p>
            <w:pPr>
              <w:jc w:val="center"/>
            </w:pPr>
            <w:r>
              <w:rPr>
                <w:rFonts w:ascii="Arial" w:cs="Arial" w:eastAsia="Arial" w:hAnsi="Arial"/>
                <w:b w:val="false"/>
                <w:bCs w:val="false"/>
                <w:color w:val="4A0080"/>
                <w:sz w:val="19"/>
                <w:szCs w:val="19"/>
              </w:rPr>
              <w:t xml:space="preserve">+$10B–$20B SEAL acqui</w:t>
            </w:r>
          </w:p>
        </w:tc>
        <w:tc>
          <w:tcPr>
            <w:tcW w:type="dxa" w:w="3240"/>
            <w:tcBorders>
              <w:top w:val="single" w:color="CCDDDF" w:sz="1"/>
              <w:left w:val="single" w:color="CCDDDF" w:sz="1"/>
              <w:bottom w:val="single" w:color="CCDDDF" w:sz="1"/>
              <w:right w:val="single" w:color="CCDDDF" w:sz="1"/>
            </w:tcBorders>
            <w:shd w:fill="F3E5F5" w:val="clear"/>
            <w:tcMar>
              <w:top w:type="dxa" w:w="100"/>
              <w:left w:type="dxa" w:w="120"/>
              <w:bottom w:type="dxa" w:w="100"/>
              <w:right w:type="dxa" w:w="120"/>
            </w:tcMar>
          </w:tcPr>
          <w:p>
            <w:pPr>
              <w:jc w:val="center"/>
            </w:pPr>
            <w:r>
              <w:rPr>
                <w:rFonts w:ascii="Arial" w:cs="Arial" w:eastAsia="Arial" w:hAnsi="Arial"/>
                <w:b w:val="false"/>
                <w:bCs w:val="false"/>
                <w:color w:val="4A0080"/>
                <w:sz w:val="19"/>
                <w:szCs w:val="19"/>
              </w:rPr>
              <w:t xml:space="preserve">Post-GTC Q2 2026</w:t>
            </w:r>
          </w:p>
        </w:tc>
      </w:tr>
      <w:tr>
        <w:tc>
          <w:tcPr>
            <w:tcW w:type="dxa" w:w="29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bCs/>
                <w:color w:val="1A2B3C"/>
                <w:sz w:val="19"/>
                <w:szCs w:val="19"/>
              </w:rPr>
              <w:t xml:space="preserve">Track 6: NVentures + Robotics VCs</w:t>
            </w:r>
          </w:p>
        </w:tc>
        <w:tc>
          <w:tcPr>
            <w:tcW w:type="dxa" w:w="17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center"/>
            </w:pPr>
            <w:r>
              <w:rPr>
                <w:rFonts w:ascii="Arial" w:cs="Arial" w:eastAsia="Arial" w:hAnsi="Arial"/>
                <w:b w:val="false"/>
                <w:bCs w:val="false"/>
                <w:color w:val="1A2B3C"/>
                <w:sz w:val="19"/>
                <w:szCs w:val="19"/>
              </w:rPr>
              <w:t xml:space="preserve">$10M–$50M equity</w:t>
            </w:r>
          </w:p>
        </w:tc>
        <w:tc>
          <w:tcPr>
            <w:tcW w:type="dxa" w:w="2000"/>
            <w:tcBorders>
              <w:top w:val="single" w:color="CCDDDF" w:sz="1"/>
              <w:left w:val="single" w:color="CCDDDF" w:sz="1"/>
              <w:bottom w:val="single" w:color="CCDDDF" w:sz="1"/>
              <w:right w:val="single" w:color="CCDDDF" w:sz="1"/>
            </w:tcBorders>
            <w:shd w:fill="E8F5E9" w:val="clear"/>
            <w:tcMar>
              <w:top w:type="dxa" w:w="100"/>
              <w:left w:type="dxa" w:w="120"/>
              <w:bottom w:type="dxa" w:w="100"/>
              <w:right w:type="dxa" w:w="120"/>
            </w:tcMar>
          </w:tcPr>
          <w:p>
            <w:pPr>
              <w:jc w:val="center"/>
            </w:pPr>
            <w:r>
              <w:rPr>
                <w:rFonts w:ascii="Arial" w:cs="Arial" w:eastAsia="Arial" w:hAnsi="Arial"/>
                <w:b w:val="false"/>
                <w:bCs w:val="false"/>
                <w:color w:val="2E7D32"/>
                <w:sz w:val="19"/>
                <w:szCs w:val="19"/>
              </w:rPr>
              <w:t xml:space="preserve">+$5B–$15B institutional</w:t>
            </w:r>
          </w:p>
        </w:tc>
        <w:tc>
          <w:tcPr>
            <w:tcW w:type="dxa" w:w="3240"/>
            <w:tcBorders>
              <w:top w:val="single" w:color="CCDDDF" w:sz="1"/>
              <w:left w:val="single" w:color="CCDDDF" w:sz="1"/>
              <w:bottom w:val="single" w:color="CCDDDF" w:sz="1"/>
              <w:right w:val="single" w:color="CCDDDF" w:sz="1"/>
            </w:tcBorders>
            <w:shd w:fill="FFF8E1" w:val="clear"/>
            <w:tcMar>
              <w:top w:type="dxa" w:w="100"/>
              <w:left w:type="dxa" w:w="120"/>
              <w:bottom w:type="dxa" w:w="100"/>
              <w:right w:type="dxa" w:w="120"/>
            </w:tcMar>
          </w:tcPr>
          <w:p>
            <w:pPr>
              <w:jc w:val="center"/>
            </w:pPr>
            <w:r>
              <w:rPr>
                <w:rFonts w:ascii="Arial" w:cs="Arial" w:eastAsia="Arial" w:hAnsi="Arial"/>
                <w:b w:val="false"/>
                <w:bCs w:val="false"/>
                <w:color w:val="B8860B"/>
                <w:sz w:val="19"/>
                <w:szCs w:val="19"/>
              </w:rPr>
              <w:t xml:space="preserve">Q2–Q3 2026</w:t>
            </w:r>
          </w:p>
        </w:tc>
      </w:tr>
      <w:tr>
        <w:tc>
          <w:tcPr>
            <w:tcW w:type="dxa" w:w="2900"/>
            <w:tcBorders>
              <w:top w:val="single" w:color="CCDDDF" w:sz="1"/>
              <w:left w:val="single" w:color="CCDDDF" w:sz="1"/>
              <w:bottom w:val="single" w:color="CCDDDF" w:sz="1"/>
              <w:right w:val="single" w:color="CCDDDF" w:sz="1"/>
            </w:tcBorders>
            <w:shd w:fill="E0F4F6" w:val="clear"/>
            <w:tcMar>
              <w:top w:type="dxa" w:w="100"/>
              <w:left w:type="dxa" w:w="120"/>
              <w:bottom w:type="dxa" w:w="100"/>
              <w:right w:type="dxa" w:w="120"/>
            </w:tcMar>
          </w:tcPr>
          <w:p>
            <w:pPr>
              <w:jc w:val="left"/>
            </w:pPr>
            <w:r>
              <w:rPr>
                <w:rFonts w:ascii="Arial" w:cs="Arial" w:eastAsia="Arial" w:hAnsi="Arial"/>
                <w:b/>
                <w:bCs/>
                <w:color w:val="1A2B3C"/>
                <w:sz w:val="19"/>
                <w:szCs w:val="19"/>
              </w:rPr>
              <w:t xml:space="preserve">Track 6: Enterprise VCs (a16z, Sequoia)</w:t>
            </w:r>
          </w:p>
        </w:tc>
        <w:tc>
          <w:tcPr>
            <w:tcW w:type="dxa" w:w="170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center"/>
            </w:pPr>
            <w:r>
              <w:rPr>
                <w:rFonts w:ascii="Arial" w:cs="Arial" w:eastAsia="Arial" w:hAnsi="Arial"/>
                <w:b w:val="false"/>
                <w:bCs w:val="false"/>
                <w:color w:val="1A2B3C"/>
                <w:sz w:val="19"/>
                <w:szCs w:val="19"/>
              </w:rPr>
              <w:t xml:space="preserve">$20M–$100M equity</w:t>
            </w:r>
          </w:p>
        </w:tc>
        <w:tc>
          <w:tcPr>
            <w:tcW w:type="dxa" w:w="2000"/>
            <w:tcBorders>
              <w:top w:val="single" w:color="CCDDDF" w:sz="1"/>
              <w:left w:val="single" w:color="CCDDDF" w:sz="1"/>
              <w:bottom w:val="single" w:color="CCDDDF" w:sz="1"/>
              <w:right w:val="single" w:color="CCDDDF" w:sz="1"/>
            </w:tcBorders>
            <w:shd w:fill="E8F5E9" w:val="clear"/>
            <w:tcMar>
              <w:top w:type="dxa" w:w="100"/>
              <w:left w:type="dxa" w:w="120"/>
              <w:bottom w:type="dxa" w:w="100"/>
              <w:right w:type="dxa" w:w="120"/>
            </w:tcMar>
          </w:tcPr>
          <w:p>
            <w:pPr>
              <w:jc w:val="center"/>
            </w:pPr>
            <w:r>
              <w:rPr>
                <w:rFonts w:ascii="Arial" w:cs="Arial" w:eastAsia="Arial" w:hAnsi="Arial"/>
                <w:b w:val="false"/>
                <w:bCs w:val="false"/>
                <w:color w:val="2E7D32"/>
                <w:sz w:val="19"/>
                <w:szCs w:val="19"/>
              </w:rPr>
              <w:t xml:space="preserve">+$5B–$12B round anchor</w:t>
            </w:r>
          </w:p>
        </w:tc>
        <w:tc>
          <w:tcPr>
            <w:tcW w:type="dxa" w:w="3240"/>
            <w:tcBorders>
              <w:top w:val="single" w:color="CCDDDF" w:sz="1"/>
              <w:left w:val="single" w:color="CCDDDF" w:sz="1"/>
              <w:bottom w:val="single" w:color="CCDDDF" w:sz="1"/>
              <w:right w:val="single" w:color="CCDDDF" w:sz="1"/>
            </w:tcBorders>
            <w:shd w:fill="FFF8E1" w:val="clear"/>
            <w:tcMar>
              <w:top w:type="dxa" w:w="100"/>
              <w:left w:type="dxa" w:w="120"/>
              <w:bottom w:type="dxa" w:w="100"/>
              <w:right w:type="dxa" w:w="120"/>
            </w:tcMar>
          </w:tcPr>
          <w:p>
            <w:pPr>
              <w:jc w:val="center"/>
            </w:pPr>
            <w:r>
              <w:rPr>
                <w:rFonts w:ascii="Arial" w:cs="Arial" w:eastAsia="Arial" w:hAnsi="Arial"/>
                <w:b w:val="false"/>
                <w:bCs w:val="false"/>
                <w:color w:val="B8860B"/>
                <w:sz w:val="19"/>
                <w:szCs w:val="19"/>
              </w:rPr>
              <w:t xml:space="preserve">Q2–Q3 2026</w:t>
            </w:r>
          </w:p>
        </w:tc>
      </w:tr>
      <w:tr>
        <w:tc>
          <w:tcPr>
            <w:tcW w:type="dxa" w:w="29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bCs/>
                <w:color w:val="1A2B3C"/>
                <w:sz w:val="19"/>
                <w:szCs w:val="19"/>
              </w:rPr>
              <w:t xml:space="preserve">Track 7: Crowdfunding (Republic) + Angels</w:t>
            </w:r>
          </w:p>
        </w:tc>
        <w:tc>
          <w:tcPr>
            <w:tcW w:type="dxa" w:w="17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center"/>
            </w:pPr>
            <w:r>
              <w:rPr>
                <w:rFonts w:ascii="Arial" w:cs="Arial" w:eastAsia="Arial" w:hAnsi="Arial"/>
                <w:b w:val="false"/>
                <w:bCs w:val="false"/>
                <w:color w:val="1A2B3C"/>
                <w:sz w:val="19"/>
                <w:szCs w:val="19"/>
              </w:rPr>
              <w:t xml:space="preserve">$2M–$10M</w:t>
            </w:r>
          </w:p>
        </w:tc>
        <w:tc>
          <w:tcPr>
            <w:tcW w:type="dxa" w:w="2000"/>
            <w:tcBorders>
              <w:top w:val="single" w:color="CCDDDF" w:sz="1"/>
              <w:left w:val="single" w:color="CCDDDF" w:sz="1"/>
              <w:bottom w:val="single" w:color="CCDDDF" w:sz="1"/>
              <w:right w:val="single" w:color="CCDDDF" w:sz="1"/>
            </w:tcBorders>
            <w:shd w:fill="E8F5E9" w:val="clear"/>
            <w:tcMar>
              <w:top w:type="dxa" w:w="100"/>
              <w:left w:type="dxa" w:w="120"/>
              <w:bottom w:type="dxa" w:w="100"/>
              <w:right w:type="dxa" w:w="120"/>
            </w:tcMar>
          </w:tcPr>
          <w:p>
            <w:pPr>
              <w:jc w:val="center"/>
            </w:pPr>
            <w:r>
              <w:rPr>
                <w:rFonts w:ascii="Arial" w:cs="Arial" w:eastAsia="Arial" w:hAnsi="Arial"/>
                <w:b w:val="false"/>
                <w:bCs w:val="false"/>
                <w:color w:val="2E7D32"/>
                <w:sz w:val="19"/>
                <w:szCs w:val="19"/>
              </w:rPr>
              <w:t xml:space="preserve">+PR + community + VC pressure</w:t>
            </w:r>
          </w:p>
        </w:tc>
        <w:tc>
          <w:tcPr>
            <w:tcW w:type="dxa" w:w="3240"/>
            <w:tcBorders>
              <w:top w:val="single" w:color="CCDDDF" w:sz="1"/>
              <w:left w:val="single" w:color="CCDDDF" w:sz="1"/>
              <w:bottom w:val="single" w:color="CCDDDF" w:sz="1"/>
              <w:right w:val="single" w:color="CCDDDF" w:sz="1"/>
            </w:tcBorders>
            <w:shd w:fill="FFF8E1" w:val="clear"/>
            <w:tcMar>
              <w:top w:type="dxa" w:w="100"/>
              <w:left w:type="dxa" w:w="120"/>
              <w:bottom w:type="dxa" w:w="100"/>
              <w:right w:type="dxa" w:w="120"/>
            </w:tcMar>
          </w:tcPr>
          <w:p>
            <w:pPr>
              <w:jc w:val="center"/>
            </w:pPr>
            <w:r>
              <w:rPr>
                <w:rFonts w:ascii="Arial" w:cs="Arial" w:eastAsia="Arial" w:hAnsi="Arial"/>
                <w:b w:val="false"/>
                <w:bCs w:val="false"/>
                <w:color w:val="B8860B"/>
                <w:sz w:val="19"/>
                <w:szCs w:val="19"/>
              </w:rPr>
              <w:t xml:space="preserve">After 1st customer</w:t>
            </w:r>
          </w:p>
        </w:tc>
      </w:tr>
      <w:tr>
        <w:tc>
          <w:tcPr>
            <w:tcW w:type="dxa" w:w="290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left"/>
            </w:pPr>
            <w:r>
              <w:rPr>
                <w:rFonts w:ascii="Arial" w:cs="Arial" w:eastAsia="Arial" w:hAnsi="Arial"/>
                <w:b/>
                <w:bCs/>
                <w:color w:val="1A2B3C"/>
                <w:sz w:val="19"/>
                <w:szCs w:val="19"/>
              </w:rPr>
              <w:t xml:space="preserve">TOTAL — 12-month execution</w:t>
            </w:r>
          </w:p>
        </w:tc>
        <w:tc>
          <w:tcPr>
            <w:tcW w:type="dxa" w:w="1700"/>
            <w:tcBorders>
              <w:top w:val="single" w:color="CCDDDF" w:sz="1"/>
              <w:left w:val="single" w:color="CCDDDF" w:sz="1"/>
              <w:bottom w:val="single" w:color="CCDDDF" w:sz="1"/>
              <w:right w:val="single" w:color="CCDDDF" w:sz="1"/>
            </w:tcBorders>
            <w:shd w:fill="B2E4E8" w:val="clear"/>
            <w:tcMar>
              <w:top w:type="dxa" w:w="100"/>
              <w:left w:type="dxa" w:w="120"/>
              <w:bottom w:type="dxa" w:w="100"/>
              <w:right w:type="dxa" w:w="120"/>
            </w:tcMar>
          </w:tcPr>
          <w:p>
            <w:pPr>
              <w:jc w:val="center"/>
            </w:pPr>
            <w:r>
              <w:rPr>
                <w:rFonts w:ascii="Arial" w:cs="Arial" w:eastAsia="Arial" w:hAnsi="Arial"/>
                <w:b/>
                <w:bCs/>
                <w:color w:val="1A2B3C"/>
                <w:sz w:val="19"/>
                <w:szCs w:val="19"/>
              </w:rPr>
              <w:t xml:space="preserve">$60M–$250M+</w:t>
            </w:r>
          </w:p>
        </w:tc>
        <w:tc>
          <w:tcPr>
            <w:tcW w:type="dxa" w:w="2000"/>
            <w:tcBorders>
              <w:top w:val="single" w:color="CCDDDF" w:sz="1"/>
              <w:left w:val="single" w:color="CCDDDF" w:sz="1"/>
              <w:bottom w:val="single" w:color="CCDDDF" w:sz="1"/>
              <w:right w:val="single" w:color="CCDDDF" w:sz="1"/>
            </w:tcBorders>
            <w:shd w:fill="B2E4E8" w:val="clear"/>
            <w:tcMar>
              <w:top w:type="dxa" w:w="100"/>
              <w:left w:type="dxa" w:w="120"/>
              <w:bottom w:type="dxa" w:w="100"/>
              <w:right w:type="dxa" w:w="120"/>
            </w:tcMar>
          </w:tcPr>
          <w:p>
            <w:pPr>
              <w:jc w:val="center"/>
            </w:pPr>
            <w:r>
              <w:rPr>
                <w:rFonts w:ascii="Arial" w:cs="Arial" w:eastAsia="Arial" w:hAnsi="Arial"/>
                <w:b/>
                <w:bCs/>
                <w:color w:val="1A2B3C"/>
                <w:sz w:val="19"/>
                <w:szCs w:val="19"/>
              </w:rPr>
              <w:t xml:space="preserve">$15B → $40B+ path</w:t>
            </w:r>
          </w:p>
        </w:tc>
        <w:tc>
          <w:tcPr>
            <w:tcW w:type="dxa" w:w="3240"/>
            <w:tcBorders>
              <w:top w:val="single" w:color="CCDDDF" w:sz="1"/>
              <w:left w:val="single" w:color="CCDDDF" w:sz="1"/>
              <w:bottom w:val="single" w:color="CCDDDF" w:sz="1"/>
              <w:right w:val="single" w:color="CCDDDF" w:sz="1"/>
            </w:tcBorders>
            <w:shd w:fill="B2E4E8" w:val="clear"/>
            <w:tcMar>
              <w:top w:type="dxa" w:w="100"/>
              <w:left w:type="dxa" w:w="120"/>
              <w:bottom w:type="dxa" w:w="100"/>
              <w:right w:type="dxa" w:w="120"/>
            </w:tcMar>
          </w:tcPr>
          <w:p>
            <w:pPr>
              <w:jc w:val="center"/>
            </w:pPr>
            <w:r>
              <w:rPr>
                <w:rFonts w:ascii="Arial" w:cs="Arial" w:eastAsia="Arial" w:hAnsi="Arial"/>
                <w:b/>
                <w:bCs/>
                <w:color w:val="1A2B3C"/>
                <w:sz w:val="19"/>
                <w:szCs w:val="19"/>
              </w:rPr>
              <w:t xml:space="preserve">All executable today</w:t>
            </w:r>
          </w:p>
        </w:tc>
      </w:tr>
    </w:tbl>
    <w:p>
      <w:pPr>
        <w:spacing w:before="80" w:after="0"/>
      </w:pPr>
      <w:r>
        <w:t xml:space="preserve"/>
      </w:r>
    </w:p>
    <w:p>
      <w:pPr>
        <w:pBdr>
          <w:bottom w:val="single" w:color="00838F" w:sz="6" w:space="1"/>
        </w:pBdr>
        <w:spacing w:before="200" w:after="200"/>
      </w:pPr>
      <w:r>
        <w:t xml:space="preserve"/>
      </w:r>
    </w:p>
    <w:p>
      <w:pPr>
        <w:pStyle w:val="Heading1"/>
        <w:spacing w:before="420" w:after="140"/>
      </w:pPr>
      <w:r>
        <w:rPr>
          <w:rFonts w:ascii="Arial" w:cs="Arial" w:eastAsia="Arial" w:hAnsi="Arial"/>
          <w:b/>
          <w:bCs/>
          <w:color w:val="00838F"/>
          <w:sz w:val="36"/>
          <w:szCs w:val="36"/>
        </w:rPr>
        <w:t xml:space="preserve">Track 1: NVIDIA Ecosystem — This Week</w:t>
      </w:r>
    </w:p>
    <w:p>
      <w:pPr>
        <w:spacing w:before="55" w:after="55"/>
      </w:pPr>
      <w:r>
        <w:rPr>
          <w:rFonts w:ascii="Arial" w:cs="Arial" w:eastAsia="Arial" w:hAnsi="Arial"/>
          <w:color w:val="1A2B3C"/>
          <w:sz w:val="22"/>
          <w:szCs w:val="22"/>
        </w:rPr>
        <w:t xml:space="preserve">AMAIMA runs NVIDIA's entire physical AI stack — all six domains confirmed live — plus a complete FHE layer. NVentures invested in ElevenLabs ($11B), Skild AI ($14B), Physical Intelligence ($2B), and Recursion ($4B). AMAIMA integrates all their work. FHE adds encrypted inference — the capability NVIDIA's enterprise customers have been demanding.</w:t>
      </w:r>
    </w:p>
    <w:p>
      <w:pPr>
        <w:spacing w:before="60" w:after="0"/>
      </w:pPr>
      <w:r>
        <w:t xml:space="preserve"/>
      </w:r>
    </w:p>
    <w:p>
      <w:pPr>
        <w:pStyle w:val="Heading2"/>
        <w:spacing w:before="280" w:after="100"/>
      </w:pPr>
      <w:r>
        <w:rPr>
          <w:rFonts w:ascii="Arial" w:cs="Arial" w:eastAsia="Arial" w:hAnsi="Arial"/>
          <w:b/>
          <w:bCs/>
          <w:color w:val="1A2B3C"/>
          <w:sz w:val="26"/>
          <w:szCs w:val="26"/>
        </w:rPr>
        <w:t xml:space="preserve">NVIDIA Inception — Apply Now</w:t>
      </w:r>
    </w:p>
    <w:p>
      <w:pPr>
        <w:pStyle w:val="ListParagraph"/>
        <w:numPr>
          <w:ilvl w:val="0"/>
          <w:numId w:val="2"/>
        </w:numPr>
        <w:spacing w:before="38" w:after="38"/>
      </w:pPr>
      <w:r>
        <w:rPr>
          <w:rFonts w:ascii="Arial" w:cs="Arial" w:eastAsia="Arial" w:hAnsi="Arial"/>
          <w:b/>
          <w:bCs/>
          <w:color w:val="1A2B3C"/>
          <w:sz w:val="22"/>
          <w:szCs w:val="22"/>
        </w:rPr>
        <w:t xml:space="preserve">$150K in Nebius AI cloud + $10K NIM inference credits — free GPU access that unlocks enterprise demos without infrastructure constraints</w:t>
      </w:r>
    </w:p>
    <w:p>
      <w:pPr>
        <w:pStyle w:val="ListParagraph"/>
        <w:numPr>
          <w:ilvl w:val="0"/>
          <w:numId w:val="2"/>
        </w:numPr>
        <w:spacing w:before="38" w:after="38"/>
      </w:pPr>
      <w:r>
        <w:rPr>
          <w:rFonts w:ascii="Arial" w:cs="Arial" w:eastAsia="Arial" w:hAnsi="Arial"/>
          <w:b/>
          <w:bCs/>
          <w:color w:val="1A2B3C"/>
          <w:sz w:val="22"/>
          <w:szCs w:val="22"/>
        </w:rPr>
        <w:t xml:space="preserve">Direct path to NVentures — Jeff Herbst personally invested in Skild AI, which does one of the seven things AMAIMA does</w:t>
      </w:r>
    </w:p>
    <w:p>
      <w:pPr>
        <w:pStyle w:val="ListParagraph"/>
        <w:numPr>
          <w:ilvl w:val="0"/>
          <w:numId w:val="2"/>
        </w:numPr>
        <w:spacing w:before="38" w:after="38"/>
      </w:pPr>
      <w:r>
        <w:rPr>
          <w:rFonts w:ascii="Arial" w:cs="Arial" w:eastAsia="Arial" w:hAnsi="Arial"/>
          <w:b/>
          <w:bCs/>
          <w:color w:val="1A2B3C"/>
          <w:sz w:val="22"/>
          <w:szCs w:val="22"/>
        </w:rPr>
        <w:t xml:space="preserve">GTC March 16–19 priority access — the single most time-sensitive action in this document</w:t>
      </w:r>
    </w:p>
    <w:p>
      <w:pPr>
        <w:pStyle w:val="ListParagraph"/>
        <w:numPr>
          <w:ilvl w:val="0"/>
          <w:numId w:val="2"/>
        </w:numPr>
        <w:spacing w:before="38" w:after="38"/>
      </w:pPr>
      <w:r>
        <w:rPr>
          <w:rFonts w:ascii="Arial" w:cs="Arial" w:eastAsia="Arial" w:hAnsi="Arial"/>
          <w:b/>
          <w:bCs/>
          <w:color w:val="1A2B3C"/>
          <w:sz w:val="22"/>
          <w:szCs w:val="22"/>
        </w:rPr>
        <w:t xml:space="preserve">NVIDIA co-marketing: AMAIMA is the reference implementation for Isaac GR00T + BioNeMo + Cosmos + Riva + NeMo + FHE on NVIDIA hardware. No other platform can make this claim.</w:t>
      </w:r>
    </w:p>
    <w:p>
      <w:pPr>
        <w:spacing w:before="60" w:after="0"/>
      </w:pPr>
      <w:r>
        <w:t xml:space="preserve"/>
      </w:r>
    </w:p>
    <w:p>
      <w:pPr>
        <w:pStyle w:val="Heading2"/>
        <w:spacing w:before="280" w:after="100"/>
      </w:pPr>
      <w:r>
        <w:rPr>
          <w:rFonts w:ascii="Arial" w:cs="Arial" w:eastAsia="Arial" w:hAnsi="Arial"/>
          <w:b/>
          <w:bCs/>
          <w:color w:val="1A2B3C"/>
          <w:sz w:val="26"/>
          <w:szCs w:val="26"/>
        </w:rPr>
        <w:t xml:space="preserve">GTC 2026 — March 16–19, San Jose (25 days away)</w:t>
      </w:r>
    </w:p>
    <w:p>
      <w:pPr>
        <w:spacing w:before="55" w:after="55"/>
      </w:pPr>
      <w:r>
        <w:rPr>
          <w:rFonts w:ascii="Arial" w:cs="Arial" w:eastAsia="Arial" w:hAnsi="Arial"/>
          <w:color w:val="1A2B3C"/>
          <w:sz w:val="22"/>
          <w:szCs w:val="22"/>
        </w:rPr>
        <w:t xml:space="preserve">Four days. Jensen Huang. Jeff Herbst. NVentures. SoftBank. Every NVIDIA product team whose work runs in AMAIMA. The entire physical AI ecosystem in one building.</w:t>
      </w:r>
    </w:p>
    <w:p>
      <w:pPr>
        <w:spacing w:before="40" w:after="0"/>
      </w:pPr>
      <w:r>
        <w:t xml:space="preserve"/>
      </w:r>
    </w:p>
    <w:p>
      <w:pPr>
        <w:pBdr>
          <w:left w:val="single" w:color="4A0080" w:sz="8" w:space="12"/>
        </w:pBdr>
        <w:spacing w:before="80" w:after="80"/>
        <w:ind w:left="720"/>
      </w:pPr>
      <w:r>
        <w:rPr>
          <w:rFonts w:ascii="Arial" w:cs="Arial" w:eastAsia="Arial" w:hAnsi="Arial"/>
          <w:b/>
          <w:bCs/>
          <w:i/>
          <w:iCs/>
          <w:color w:val="00838F"/>
          <w:sz w:val="22"/>
          <w:szCs w:val="22"/>
        </w:rPr>
        <w:t xml:space="preserve">"We built the reference implementation of NVIDIA's entire physical AI stack — with FHE. GR00T, Isaac, BioNeMo, Cosmos, Riva, NeMo, all running together with encrypted compute. NVentures backed ElevenLabs at $11B for voice alone and Skild at $14B for robotics alone. AMAIMA has all six plus FHE. Live. At amaima.live."</w:t>
      </w:r>
    </w:p>
    <w:p>
      <w:pPr>
        <w:spacing w:before="80" w:after="0"/>
      </w:pPr>
      <w:r>
        <w:t xml:space="preserve"/>
      </w:r>
    </w:p>
    <w:p>
      <w:pPr>
        <w:pBdr>
          <w:bottom w:val="single" w:color="00838F" w:sz="6" w:space="1"/>
        </w:pBdr>
        <w:spacing w:before="200" w:after="200"/>
      </w:pPr>
      <w:r>
        <w:t xml:space="preserve"/>
      </w:r>
    </w:p>
    <w:p>
      <w:pPr>
        <w:pStyle w:val="Heading1"/>
        <w:spacing w:before="420" w:after="140"/>
      </w:pPr>
      <w:r>
        <w:rPr>
          <w:rFonts w:ascii="Arial" w:cs="Arial" w:eastAsia="Arial" w:hAnsi="Arial"/>
          <w:b/>
          <w:bCs/>
          <w:color w:val="00838F"/>
          <w:sz w:val="36"/>
          <w:szCs w:val="36"/>
        </w:rPr>
        <w:t xml:space="preserve">Track 2: Government &amp; Defense — FHE Upgrades Every Application</w:t>
      </w:r>
    </w:p>
    <w:p>
      <w:pPr>
        <w:spacing w:before="55" w:after="55"/>
      </w:pPr>
      <w:r>
        <w:rPr>
          <w:rFonts w:ascii="Arial" w:cs="Arial" w:eastAsia="Arial" w:hAnsi="Arial"/>
          <w:color w:val="1A2B3C"/>
          <w:sz w:val="22"/>
          <w:szCs w:val="22"/>
        </w:rPr>
        <w:t xml:space="preserve">FHE changes DARPA applications from 'capable AI platform' to 'the working answer to classified AI on unclassified infrastructure' — which is DARPA's exact unsolved problem across both TTO and BTO.</w:t>
      </w:r>
    </w:p>
    <w:p>
      <w:pPr>
        <w:spacing w:before="60" w:after="0"/>
      </w:pPr>
      <w:r>
        <w:t xml:space="preserve"/>
      </w:r>
    </w:p>
    <w:p>
      <w:pPr>
        <w:pStyle w:val="Heading2"/>
        <w:spacing w:before="280" w:after="100"/>
      </w:pPr>
      <w:r>
        <w:rPr>
          <w:rFonts w:ascii="Arial" w:cs="Arial" w:eastAsia="Arial" w:hAnsi="Arial"/>
          <w:b/>
          <w:bCs/>
          <w:color w:val="1A2B3C"/>
          <w:sz w:val="26"/>
          <w:szCs w:val="26"/>
        </w:rPr>
        <w:t xml:space="preserve">DARPA TTO BAA — April 17, 2026  (UPGRADED WITH FHE)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7840"/>
      </w:tblGrid>
      <w:tr>
        <w:tc>
          <w:tcPr>
            <w:tcW w:type="dxa" w:w="2000"/>
            <w:tcBorders>
              <w:top w:val="single" w:color="CCDDDF" w:sz="1"/>
              <w:left w:val="single" w:color="CCDDDF" w:sz="1"/>
              <w:bottom w:val="single" w:color="CCDDDF" w:sz="1"/>
              <w:right w:val="single" w:color="CCDDDF" w:sz="1"/>
            </w:tcBorders>
            <w:shd w:fill="1A2B3C"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Before FHE</w:t>
            </w:r>
          </w:p>
        </w:tc>
        <w:tc>
          <w:tcPr>
            <w:tcW w:type="dxa" w:w="784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Multi-agent autonomous systems with human-in-the-loop coordination.</w:t>
            </w:r>
          </w:p>
        </w:tc>
      </w:tr>
      <w:tr>
        <w:tc>
          <w:tcPr>
            <w:tcW w:type="dxa" w:w="2000"/>
            <w:tcBorders>
              <w:top w:val="single" w:color="CCDDDF" w:sz="1"/>
              <w:left w:val="single" w:color="CCDDDF" w:sz="1"/>
              <w:bottom w:val="single" w:color="CCDDDF" w:sz="1"/>
              <w:right w:val="single" w:color="CCDDDF" w:sz="1"/>
            </w:tcBorders>
            <w:shd w:fill="4A0080"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After FHE ★</w:t>
            </w:r>
          </w:p>
        </w:tc>
        <w:tc>
          <w:tcPr>
            <w:tcW w:type="dxa" w:w="7840"/>
            <w:tcBorders>
              <w:top w:val="single" w:color="CCDDDF" w:sz="1"/>
              <w:left w:val="single" w:color="CCDDDF" w:sz="1"/>
              <w:bottom w:val="single" w:color="CCDDDF" w:sz="1"/>
              <w:right w:val="single" w:color="CCDDDF" w:sz="1"/>
            </w:tcBorders>
            <w:shd w:fill="F3E5F5" w:val="clear"/>
            <w:tcMar>
              <w:top w:type="dxa" w:w="100"/>
              <w:left w:type="dxa" w:w="120"/>
              <w:bottom w:type="dxa" w:w="100"/>
              <w:right w:type="dxa" w:w="120"/>
            </w:tcMar>
          </w:tcPr>
          <w:p>
            <w:r>
              <w:rPr>
                <w:rFonts w:ascii="Arial" w:cs="Arial" w:eastAsia="Arial" w:hAnsi="Arial"/>
                <w:color w:val="1A2B3C"/>
                <w:sz w:val="20"/>
                <w:szCs w:val="20"/>
              </w:rPr>
              <w:t xml:space="preserve">Zero-trust autonomous systems with encrypted sensor coordination. Robot fleets coordinate on encrypted positional and environmental data — the inference server is mathematically blind to classified mission parameters. This is the answer to DARPA's classified AI on unclassified infrastructure research question. Award: $500K–$5M non-dilutive.</w:t>
            </w:r>
          </w:p>
        </w:tc>
      </w:tr>
    </w:tbl>
    <w:p>
      <w:pPr>
        <w:spacing w:before="60" w:after="0"/>
      </w:pPr>
      <w:r>
        <w:t xml:space="preserve"/>
      </w:r>
    </w:p>
    <w:p>
      <w:pPr>
        <w:pStyle w:val="Heading2"/>
        <w:spacing w:before="280" w:after="100"/>
      </w:pPr>
      <w:r>
        <w:rPr>
          <w:rFonts w:ascii="Arial" w:cs="Arial" w:eastAsia="Arial" w:hAnsi="Arial"/>
          <w:b/>
          <w:bCs/>
          <w:color w:val="1A2B3C"/>
          <w:sz w:val="26"/>
          <w:szCs w:val="26"/>
        </w:rPr>
        <w:t xml:space="preserve">USSOCOM Joint Autonomy — May 15, 2026  (UPGRADED WITH FHE)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7840"/>
      </w:tblGrid>
      <w:tr>
        <w:tc>
          <w:tcPr>
            <w:tcW w:type="dxa" w:w="2000"/>
            <w:tcBorders>
              <w:top w:val="single" w:color="CCDDDF" w:sz="1"/>
              <w:left w:val="single" w:color="CCDDDF" w:sz="1"/>
              <w:bottom w:val="single" w:color="CCDDDF" w:sz="1"/>
              <w:right w:val="single" w:color="CCDDDF" w:sz="1"/>
            </w:tcBorders>
            <w:shd w:fill="1A2B3C"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Before FHE</w:t>
            </w:r>
          </w:p>
        </w:tc>
        <w:tc>
          <w:tcPr>
            <w:tcW w:type="dxa" w:w="784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Multi-robot coordination and swarm intelligence for heterogeneous unmanned systems.</w:t>
            </w:r>
          </w:p>
        </w:tc>
      </w:tr>
      <w:tr>
        <w:tc>
          <w:tcPr>
            <w:tcW w:type="dxa" w:w="2000"/>
            <w:tcBorders>
              <w:top w:val="single" w:color="CCDDDF" w:sz="1"/>
              <w:left w:val="single" w:color="CCDDDF" w:sz="1"/>
              <w:bottom w:val="single" w:color="CCDDDF" w:sz="1"/>
              <w:right w:val="single" w:color="CCDDDF" w:sz="1"/>
            </w:tcBorders>
            <w:shd w:fill="4A0080"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After FHE ★</w:t>
            </w:r>
          </w:p>
        </w:tc>
        <w:tc>
          <w:tcPr>
            <w:tcW w:type="dxa" w:w="7840"/>
            <w:tcBorders>
              <w:top w:val="single" w:color="CCDDDF" w:sz="1"/>
              <w:left w:val="single" w:color="CCDDDF" w:sz="1"/>
              <w:bottom w:val="single" w:color="CCDDDF" w:sz="1"/>
              <w:right w:val="single" w:color="CCDDDF" w:sz="1"/>
            </w:tcBorders>
            <w:shd w:fill="F3E5F5" w:val="clear"/>
            <w:tcMar>
              <w:top w:type="dxa" w:w="100"/>
              <w:left w:type="dxa" w:w="120"/>
              <w:bottom w:type="dxa" w:w="100"/>
              <w:right w:type="dxa" w:w="120"/>
            </w:tcMar>
          </w:tcPr>
          <w:p>
            <w:r>
              <w:rPr>
                <w:rFonts w:ascii="Arial" w:cs="Arial" w:eastAsia="Arial" w:hAnsi="Arial"/>
                <w:color w:val="1A2B3C"/>
                <w:sz w:val="20"/>
                <w:szCs w:val="20"/>
              </w:rPr>
              <w:t xml:space="preserve">Encrypted swarm coordination — Swarm Crew agents coordinate heterogeneous robot fleets on encrypted sensor data. Classified mission data flows through commercial AMAIMA infrastructure with cryptographic guarantees the server cannot read it. Award: $500K–$5M non-dilutive.</w:t>
            </w:r>
          </w:p>
        </w:tc>
      </w:tr>
    </w:tbl>
    <w:p>
      <w:pPr>
        <w:spacing w:before="60" w:after="0"/>
      </w:pPr>
      <w:r>
        <w:t xml:space="preserve"/>
      </w:r>
    </w:p>
    <w:p>
      <w:pPr>
        <w:pStyle w:val="Heading2"/>
        <w:spacing w:before="280" w:after="100"/>
      </w:pPr>
      <w:r>
        <w:rPr>
          <w:rFonts w:ascii="Arial" w:cs="Arial" w:eastAsia="Arial" w:hAnsi="Arial"/>
          <w:b/>
          <w:bCs/>
          <w:color w:val="1A2B3C"/>
          <w:sz w:val="26"/>
          <w:szCs w:val="26"/>
        </w:rPr>
        <w:t xml:space="preserve">DARPA BTO BAA — Sept 30, 2026  (UPGRADED WITH FHE)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7840"/>
      </w:tblGrid>
      <w:tr>
        <w:tc>
          <w:tcPr>
            <w:tcW w:type="dxa" w:w="2000"/>
            <w:tcBorders>
              <w:top w:val="single" w:color="CCDDDF" w:sz="1"/>
              <w:left w:val="single" w:color="CCDDDF" w:sz="1"/>
              <w:bottom w:val="single" w:color="CCDDDF" w:sz="1"/>
              <w:right w:val="single" w:color="CCDDDF" w:sz="1"/>
            </w:tcBorders>
            <w:shd w:fill="1A2B3C"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Before FHE</w:t>
            </w:r>
          </w:p>
        </w:tc>
        <w:tc>
          <w:tcPr>
            <w:tcW w:type="dxa" w:w="784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AI-accelerated biodefense decision platform with 5-model molecular pipeline.</w:t>
            </w:r>
          </w:p>
        </w:tc>
      </w:tr>
      <w:tr>
        <w:tc>
          <w:tcPr>
            <w:tcW w:type="dxa" w:w="2000"/>
            <w:tcBorders>
              <w:top w:val="single" w:color="CCDDDF" w:sz="1"/>
              <w:left w:val="single" w:color="CCDDDF" w:sz="1"/>
              <w:bottom w:val="single" w:color="CCDDDF" w:sz="1"/>
              <w:right w:val="single" w:color="CCDDDF" w:sz="1"/>
            </w:tcBorders>
            <w:shd w:fill="4A0080"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After FHE ★</w:t>
            </w:r>
          </w:p>
        </w:tc>
        <w:tc>
          <w:tcPr>
            <w:tcW w:type="dxa" w:w="7840"/>
            <w:tcBorders>
              <w:top w:val="single" w:color="CCDDDF" w:sz="1"/>
              <w:left w:val="single" w:color="CCDDDF" w:sz="1"/>
              <w:bottom w:val="single" w:color="CCDDDF" w:sz="1"/>
              <w:right w:val="single" w:color="CCDDDF" w:sz="1"/>
            </w:tcBorders>
            <w:shd w:fill="F3E5F5" w:val="clear"/>
            <w:tcMar>
              <w:top w:type="dxa" w:w="100"/>
              <w:left w:type="dxa" w:w="120"/>
              <w:bottom w:type="dxa" w:w="100"/>
              <w:right w:type="dxa" w:w="120"/>
            </w:tcMar>
          </w:tcPr>
          <w:p>
            <w:r>
              <w:rPr>
                <w:rFonts w:ascii="Arial" w:cs="Arial" w:eastAsia="Arial" w:hAnsi="Arial"/>
                <w:color w:val="1A2B3C"/>
                <w:sz w:val="20"/>
                <w:szCs w:val="20"/>
              </w:rPr>
              <w:t xml:space="preserve">Encrypted biodefense AI with post-quantum security. Classified pathogen sequences and biodefense compound libraries processed on commercial infrastructure with mathematical guarantees the server never sees classification-sensitive data. AlphaFold2 and DiffDock run on encrypted biological sequences. Award: $2M–$5M+ non-dilutive.</w:t>
            </w:r>
          </w:p>
        </w:tc>
      </w:tr>
    </w:tbl>
    <w:p>
      <w:pPr>
        <w:spacing w:before="80" w:after="0"/>
      </w:pPr>
      <w:r>
        <w:t xml:space="preserve"/>
      </w:r>
    </w:p>
    <w:p>
      <w:pPr>
        <w:pBdr>
          <w:bottom w:val="single" w:color="00838F" w:sz="6" w:space="1"/>
        </w:pBdr>
        <w:spacing w:before="200" w:after="200"/>
      </w:pPr>
      <w:r>
        <w:t xml:space="preserve"/>
      </w:r>
    </w:p>
    <w:p>
      <w:pPr>
        <w:pStyle w:val="Heading1"/>
        <w:spacing w:before="420" w:after="140"/>
      </w:pPr>
      <w:r>
        <w:rPr>
          <w:rFonts w:ascii="Arial" w:cs="Arial" w:eastAsia="Arial" w:hAnsi="Arial"/>
          <w:b/>
          <w:bCs/>
          <w:color w:val="00838F"/>
          <w:sz w:val="36"/>
          <w:szCs w:val="36"/>
        </w:rPr>
        <w:t xml:space="preserve">Track 3: Biopharma — Encrypted Drug Discovery Changes the Conversation</w:t>
      </w:r>
    </w:p>
    <w:p>
      <w:pPr>
        <w:spacing w:before="55" w:after="55"/>
      </w:pPr>
      <w:r>
        <w:rPr>
          <w:rFonts w:ascii="Arial" w:cs="Arial" w:eastAsia="Arial" w:hAnsi="Arial"/>
          <w:color w:val="1A2B3C"/>
          <w:sz w:val="22"/>
          <w:szCs w:val="22"/>
        </w:rPr>
        <w:t xml:space="preserve">Before FHE, biopharma adoption was stalled because no company would send proprietary compound libraries to a cloud AI system. FHE removes that barrier permanently. The conversation goes from 'impressive platform' to 'the only platform that can run our most sensitive workloads.'</w:t>
      </w:r>
    </w:p>
    <w:p>
      <w:pPr>
        <w:spacing w:before="50" w:after="0"/>
      </w:pPr>
      <w:r>
        <w:t xml:space="preserve"/>
      </w:r>
    </w:p>
    <w:p>
      <w:pPr>
        <w:pBdr>
          <w:left w:val="single" w:color="4A0080" w:sz="8" w:space="12"/>
        </w:pBdr>
        <w:spacing w:before="80" w:after="80"/>
        <w:ind w:left="720"/>
      </w:pPr>
      <w:r>
        <w:rPr>
          <w:rFonts w:ascii="Arial" w:cs="Arial" w:eastAsia="Arial" w:hAnsi="Arial"/>
          <w:b/>
          <w:bCs/>
          <w:i/>
          <w:iCs/>
          <w:color w:val="00838F"/>
          <w:sz w:val="22"/>
          <w:szCs w:val="22"/>
        </w:rPr>
        <w:t xml:space="preserve">"We run AlphaFold2, DiffDock, and GenMol on encrypted compound data. Your library never leaves your possession unencrypted. AMAIMA scores candidates against targets on ciphertext and returns ciphertext. You decrypt locally with your key. We never see your compounds."</w:t>
      </w:r>
    </w:p>
    <w:p>
      <w:pPr>
        <w:spacing w:before="50" w:after="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840"/>
      </w:tblGrid>
      <w:tr>
        <w:tc>
          <w:tcPr>
            <w:tcW w:type="dxa" w:w="220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Target</w:t>
            </w:r>
          </w:p>
        </w:tc>
        <w:tc>
          <w:tcPr>
            <w:tcW w:type="dxa" w:w="180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Entry Point</w:t>
            </w:r>
          </w:p>
        </w:tc>
        <w:tc>
          <w:tcPr>
            <w:tcW w:type="dxa" w:w="584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FHE-Specific Pitch</w:t>
            </w:r>
          </w:p>
        </w:tc>
      </w:tr>
      <w:tr>
        <w:tc>
          <w:tcPr>
            <w:tcW w:type="dxa" w:w="2200"/>
            <w:tcBorders>
              <w:top w:val="single" w:color="CCDDDF" w:sz="1"/>
              <w:left w:val="single" w:color="CCDDDF" w:sz="1"/>
              <w:bottom w:val="single" w:color="CCDDDF" w:sz="1"/>
              <w:right w:val="single" w:color="CCDDDF" w:sz="1"/>
            </w:tcBorders>
            <w:shd w:fill="E0F4F6" w:val="clear"/>
            <w:tcMar>
              <w:top w:type="dxa" w:w="100"/>
              <w:left w:type="dxa" w:w="120"/>
              <w:bottom w:type="dxa" w:w="100"/>
              <w:right w:type="dxa" w:w="120"/>
            </w:tcMar>
          </w:tcPr>
          <w:p>
            <w:pPr>
              <w:jc w:val="left"/>
            </w:pPr>
            <w:r>
              <w:rPr>
                <w:rFonts w:ascii="Arial" w:cs="Arial" w:eastAsia="Arial" w:hAnsi="Arial"/>
                <w:b/>
                <w:bCs/>
                <w:color w:val="1A2B3C"/>
                <w:sz w:val="19"/>
                <w:szCs w:val="19"/>
              </w:rPr>
              <w:t xml:space="preserve">BioFlorida Network</w:t>
            </w:r>
          </w:p>
        </w:tc>
        <w:tc>
          <w:tcPr>
            <w:tcW w:type="dxa" w:w="180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center"/>
            </w:pPr>
            <w:r>
              <w:rPr>
                <w:rFonts w:ascii="Arial" w:cs="Arial" w:eastAsia="Arial" w:hAnsi="Arial"/>
                <w:b w:val="false"/>
                <w:bCs w:val="false"/>
                <w:color w:val="1A2B3C"/>
                <w:sz w:val="19"/>
                <w:szCs w:val="19"/>
              </w:rPr>
              <w:t xml:space="preserve">Events + demo</w:t>
            </w:r>
          </w:p>
        </w:tc>
        <w:tc>
          <w:tcPr>
            <w:tcW w:type="dxa" w:w="584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left"/>
            </w:pPr>
            <w:r>
              <w:rPr>
                <w:rFonts w:ascii="Arial" w:cs="Arial" w:eastAsia="Arial" w:hAnsi="Arial"/>
                <w:b w:val="false"/>
                <w:bCs w:val="false"/>
                <w:color w:val="1A2B3C"/>
                <w:sz w:val="19"/>
                <w:szCs w:val="19"/>
              </w:rPr>
              <w:t xml:space="preserve">Show the Encrypted Drug Discovery template live at amaima.live/agent-builder. AlphaFold2 → DiffDock → GenMol → Encrypted Drug Scoring node. Their compound data stays encrypted throughout.</w:t>
            </w:r>
          </w:p>
        </w:tc>
      </w:tr>
      <w:tr>
        <w:tc>
          <w:tcPr>
            <w:tcW w:type="dxa" w:w="22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bCs/>
                <w:color w:val="1A2B3C"/>
                <w:sz w:val="19"/>
                <w:szCs w:val="19"/>
              </w:rPr>
              <w:t xml:space="preserve">Moffitt Cancer Center</w:t>
            </w:r>
          </w:p>
        </w:tc>
        <w:tc>
          <w:tcPr>
            <w:tcW w:type="dxa" w:w="18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center"/>
            </w:pPr>
            <w:r>
              <w:rPr>
                <w:rFonts w:ascii="Arial" w:cs="Arial" w:eastAsia="Arial" w:hAnsi="Arial"/>
                <w:b w:val="false"/>
                <w:bCs w:val="false"/>
                <w:color w:val="1A2B3C"/>
                <w:sz w:val="19"/>
                <w:szCs w:val="19"/>
              </w:rPr>
              <w:t xml:space="preserve">Research partnership</w:t>
            </w:r>
          </w:p>
        </w:tc>
        <w:tc>
          <w:tcPr>
            <w:tcW w:type="dxa" w:w="584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19"/>
                <w:szCs w:val="19"/>
              </w:rPr>
              <w:t xml:space="preserve">Oncology candidate generation and protein structure prediction on encrypted patient genomic data. HIPAA compliance by architecture.</w:t>
            </w:r>
          </w:p>
        </w:tc>
      </w:tr>
      <w:tr>
        <w:tc>
          <w:tcPr>
            <w:tcW w:type="dxa" w:w="2200"/>
            <w:tcBorders>
              <w:top w:val="single" w:color="CCDDDF" w:sz="1"/>
              <w:left w:val="single" w:color="CCDDDF" w:sz="1"/>
              <w:bottom w:val="single" w:color="CCDDDF" w:sz="1"/>
              <w:right w:val="single" w:color="CCDDDF" w:sz="1"/>
            </w:tcBorders>
            <w:shd w:fill="E0F4F6" w:val="clear"/>
            <w:tcMar>
              <w:top w:type="dxa" w:w="100"/>
              <w:left w:type="dxa" w:w="120"/>
              <w:bottom w:type="dxa" w:w="100"/>
              <w:right w:type="dxa" w:w="120"/>
            </w:tcMar>
          </w:tcPr>
          <w:p>
            <w:pPr>
              <w:jc w:val="left"/>
            </w:pPr>
            <w:r>
              <w:rPr>
                <w:rFonts w:ascii="Arial" w:cs="Arial" w:eastAsia="Arial" w:hAnsi="Arial"/>
                <w:b/>
                <w:bCs/>
                <w:color w:val="1A2B3C"/>
                <w:sz w:val="19"/>
                <w:szCs w:val="19"/>
              </w:rPr>
              <w:t xml:space="preserve">Pharma CROs (SE Region)</w:t>
            </w:r>
          </w:p>
        </w:tc>
        <w:tc>
          <w:tcPr>
            <w:tcW w:type="dxa" w:w="180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center"/>
            </w:pPr>
            <w:r>
              <w:rPr>
                <w:rFonts w:ascii="Arial" w:cs="Arial" w:eastAsia="Arial" w:hAnsi="Arial"/>
                <w:b w:val="false"/>
                <w:bCs w:val="false"/>
                <w:color w:val="1A2B3C"/>
                <w:sz w:val="19"/>
                <w:szCs w:val="19"/>
              </w:rPr>
              <w:t xml:space="preserve">Enterprise contract</w:t>
            </w:r>
          </w:p>
        </w:tc>
        <w:tc>
          <w:tcPr>
            <w:tcW w:type="dxa" w:w="584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left"/>
            </w:pPr>
            <w:r>
              <w:rPr>
                <w:rFonts w:ascii="Arial" w:cs="Arial" w:eastAsia="Arial" w:hAnsi="Arial"/>
                <w:b w:val="false"/>
                <w:bCs w:val="false"/>
                <w:color w:val="1A2B3C"/>
                <w:sz w:val="19"/>
                <w:szCs w:val="19"/>
              </w:rPr>
              <w:t xml:space="preserve">Outsourced encrypted drug discovery pipeline. Repeatable contract model — client data never exposed to CRO's cloud infrastructure.</w:t>
            </w:r>
          </w:p>
        </w:tc>
      </w:tr>
      <w:tr>
        <w:tc>
          <w:tcPr>
            <w:tcW w:type="dxa" w:w="22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bCs/>
                <w:color w:val="1A2B3C"/>
                <w:sz w:val="19"/>
                <w:szCs w:val="19"/>
              </w:rPr>
              <w:t xml:space="preserve">UM Health / FIU</w:t>
            </w:r>
          </w:p>
        </w:tc>
        <w:tc>
          <w:tcPr>
            <w:tcW w:type="dxa" w:w="18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center"/>
            </w:pPr>
            <w:r>
              <w:rPr>
                <w:rFonts w:ascii="Arial" w:cs="Arial" w:eastAsia="Arial" w:hAnsi="Arial"/>
                <w:b w:val="false"/>
                <w:bCs w:val="false"/>
                <w:color w:val="1A2B3C"/>
                <w:sz w:val="19"/>
                <w:szCs w:val="19"/>
              </w:rPr>
              <w:t xml:space="preserve">DARPA AI FORGE</w:t>
            </w:r>
          </w:p>
        </w:tc>
        <w:tc>
          <w:tcPr>
            <w:tcW w:type="dxa" w:w="584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19"/>
                <w:szCs w:val="19"/>
              </w:rPr>
              <w:t xml:space="preserve">Academic partnership for DARPA BTO application. University provides institutional standing. AMAIMA provides the encrypted biology AI platform.</w:t>
            </w:r>
          </w:p>
        </w:tc>
      </w:tr>
    </w:tbl>
    <w:p>
      <w:pPr>
        <w:spacing w:before="80" w:after="0"/>
      </w:pPr>
      <w:r>
        <w:t xml:space="preserve"/>
      </w:r>
    </w:p>
    <w:p>
      <w:pPr>
        <w:pBdr>
          <w:bottom w:val="single" w:color="00838F" w:sz="6" w:space="1"/>
        </w:pBdr>
        <w:spacing w:before="200" w:after="200"/>
      </w:pPr>
      <w:r>
        <w:t xml:space="preserve"/>
      </w:r>
    </w:p>
    <w:p>
      <w:pPr>
        <w:pStyle w:val="Heading1"/>
        <w:spacing w:before="420" w:after="140"/>
      </w:pPr>
      <w:r>
        <w:rPr>
          <w:rFonts w:ascii="Arial" w:cs="Arial" w:eastAsia="Arial" w:hAnsi="Arial"/>
          <w:b/>
          <w:bCs/>
          <w:color w:val="00838F"/>
          <w:sz w:val="36"/>
          <w:szCs w:val="36"/>
        </w:rPr>
        <w:t xml:space="preserve">Track 4: Speech AI Enterprise</w:t>
      </w:r>
    </w:p>
    <w:p>
      <w:pPr>
        <w:spacing w:before="55" w:after="55"/>
      </w:pPr>
      <w:r>
        <w:rPr>
          <w:rFonts w:ascii="Arial" w:cs="Arial" w:eastAsia="Arial" w:hAnsi="Arial"/>
          <w:color w:val="1A2B3C"/>
          <w:sz w:val="22"/>
          <w:szCs w:val="22"/>
        </w:rPr>
        <w:t xml:space="preserve">ElevenLabs raised $11B for voice AI in February 2026. AMAIMA runs NVIDIA's Riva stack — the enterprise speech infrastructure — as one of seven live capabilities, including FHE. Speech is the fastest enterprise contract path because voice agent use cases are immediate and cross-industry.</w:t>
      </w:r>
    </w:p>
    <w:p>
      <w:pPr>
        <w:spacing w:before="50" w:after="0"/>
      </w:pPr>
      <w:r>
        <w:t xml:space="preserve"/>
      </w:r>
    </w:p>
    <w:p>
      <w:pPr>
        <w:pBdr>
          <w:left w:val="single" w:color="4A0080" w:sz="8" w:space="12"/>
        </w:pBdr>
        <w:spacing w:before="80" w:after="80"/>
        <w:ind w:left="720"/>
      </w:pPr>
      <w:r>
        <w:rPr>
          <w:rFonts w:ascii="Arial" w:cs="Arial" w:eastAsia="Arial" w:hAnsi="Arial"/>
          <w:b/>
          <w:bCs/>
          <w:i/>
          <w:iCs/>
          <w:color w:val="00838F"/>
          <w:sz w:val="22"/>
          <w:szCs w:val="22"/>
        </w:rPr>
        <w:t xml:space="preserve">"NVIDIA invested in ElevenLabs at $11B for voice AI. We run the same NVIDIA Riva stack — plus five other AI domains and encrypted compute — at $299/month. ElevenLabs does one thing. We do seven, one of which they cannot do."</w:t>
      </w:r>
    </w:p>
    <w:p>
      <w:pPr>
        <w:spacing w:before="80" w:after="0"/>
      </w:pPr>
      <w:r>
        <w:t xml:space="preserve"/>
      </w:r>
    </w:p>
    <w:p>
      <w:pPr>
        <w:pBdr>
          <w:bottom w:val="single" w:color="00838F" w:sz="6" w:space="1"/>
        </w:pBdr>
        <w:spacing w:before="200" w:after="200"/>
      </w:pPr>
      <w:r>
        <w:t xml:space="preserve"/>
      </w:r>
    </w:p>
    <w:p>
      <w:pPr>
        <w:pStyle w:val="Heading1"/>
        <w:spacing w:before="420" w:after="140"/>
      </w:pPr>
      <w:r>
        <w:rPr>
          <w:rFonts w:ascii="Arial" w:cs="Arial" w:eastAsia="Arial" w:hAnsi="Arial"/>
          <w:b/>
          <w:bCs/>
          <w:color w:val="00838F"/>
          <w:sz w:val="36"/>
          <w:szCs w:val="36"/>
        </w:rPr>
        <w:t xml:space="preserve">Track 5: FHE-Specific Targets — Three New Market Categories ★</w:t>
      </w:r>
    </w:p>
    <w:p>
      <w:pPr>
        <w:spacing w:before="55" w:after="55"/>
      </w:pPr>
      <w:r>
        <w:rPr>
          <w:rFonts w:ascii="Arial" w:cs="Arial" w:eastAsia="Arial" w:hAnsi="Arial"/>
          <w:color w:val="1A2B3C"/>
          <w:sz w:val="22"/>
          <w:szCs w:val="22"/>
        </w:rPr>
        <w:t xml:space="preserve">These three target tracks did not exist before FHE. They represent markets that have been unable to adopt AI at all because of data sovereignty and security requirements. AMAIMA is now the answer to their blocking question.</w:t>
      </w:r>
    </w:p>
    <w:p>
      <w:pPr>
        <w:spacing w:before="70" w:after="0"/>
      </w:pPr>
      <w:r>
        <w:t xml:space="preserve"/>
      </w:r>
    </w:p>
    <w:p>
      <w:pPr>
        <w:pStyle w:val="Heading2"/>
        <w:spacing w:before="280" w:after="100"/>
      </w:pPr>
      <w:r>
        <w:rPr>
          <w:rFonts w:ascii="Arial" w:cs="Arial" w:eastAsia="Arial" w:hAnsi="Arial"/>
          <w:b/>
          <w:bCs/>
          <w:color w:val="1A2B3C"/>
          <w:sz w:val="26"/>
          <w:szCs w:val="26"/>
        </w:rPr>
        <w:t xml:space="preserve">5A: Healthcare CISOs and Chief Privacy Officers</w:t>
      </w:r>
    </w:p>
    <w:p>
      <w:pPr>
        <w:spacing w:before="55" w:after="55"/>
      </w:pPr>
      <w:r>
        <w:rPr>
          <w:rFonts w:ascii="Arial" w:cs="Arial" w:eastAsia="Arial" w:hAnsi="Arial"/>
          <w:color w:val="1A2B3C"/>
          <w:sz w:val="22"/>
          <w:szCs w:val="22"/>
        </w:rPr>
        <w:t xml:space="preserve">Healthcare AI adoption has been blocked primarily by HIPAA compliance concerns around sending patient data to cloud inference endpoints. FHE resolves this architecturally — HIPAA compliance becomes a mathematical property of the system, not a policy agreement.</w:t>
      </w:r>
    </w:p>
    <w:p>
      <w:pPr>
        <w:spacing w:before="40" w:after="0"/>
      </w:pPr>
      <w:r>
        <w:t xml:space="preserve"/>
      </w:r>
    </w:p>
    <w:p>
      <w:pPr>
        <w:pStyle w:val="ListParagraph"/>
        <w:numPr>
          <w:ilvl w:val="0"/>
          <w:numId w:val="2"/>
        </w:numPr>
        <w:spacing w:before="38" w:after="38"/>
      </w:pPr>
      <w:r>
        <w:rPr>
          <w:rFonts w:ascii="Arial" w:cs="Arial" w:eastAsia="Arial" w:hAnsi="Arial"/>
          <w:b/>
          <w:bCs/>
          <w:color w:val="1A2B3C"/>
          <w:sz w:val="22"/>
          <w:szCs w:val="22"/>
        </w:rPr>
        <w:t xml:space="preserve">Target: Chief Information Security Officers and Chief Privacy Officers at major health systems — Mayo Clinic, Cleveland Clinic, HCA Healthcare, Ascension, CommonSpirit</w:t>
      </w:r>
    </w:p>
    <w:p>
      <w:pPr>
        <w:pStyle w:val="ListParagraph"/>
        <w:numPr>
          <w:ilvl w:val="0"/>
          <w:numId w:val="2"/>
        </w:numPr>
        <w:spacing w:before="38" w:after="38"/>
      </w:pPr>
      <w:r>
        <w:rPr>
          <w:rFonts w:ascii="Arial" w:cs="Arial" w:eastAsia="Arial" w:hAnsi="Arial"/>
          <w:b/>
          <w:bCs/>
          <w:color w:val="1A2B3C"/>
          <w:sz w:val="22"/>
          <w:szCs w:val="22"/>
        </w:rPr>
        <w:t xml:space="preserve">Entry point: The HIPAA-by-architecture argument. 'We cannot guarantee your data is safe' is a policy statement. 'The server processes ciphertext and is mathematically incapable of reading your data' is an architectural guarantee.</w:t>
      </w:r>
    </w:p>
    <w:p>
      <w:pPr>
        <w:pStyle w:val="ListParagraph"/>
        <w:numPr>
          <w:ilvl w:val="0"/>
          <w:numId w:val="2"/>
        </w:numPr>
        <w:spacing w:before="38" w:after="38"/>
      </w:pPr>
      <w:r>
        <w:rPr>
          <w:rFonts w:ascii="Arial" w:cs="Arial" w:eastAsia="Arial" w:hAnsi="Arial"/>
          <w:b/>
          <w:bCs/>
          <w:color w:val="1A2B3C"/>
          <w:sz w:val="22"/>
          <w:szCs w:val="22"/>
        </w:rPr>
        <w:t xml:space="preserve">Demo: Run encrypted similarity search on synthetic patient records at amaima.live/fhe. Show the ciphertext in, ciphertext out flow. Show the key generation staying client-side.</w:t>
      </w:r>
    </w:p>
    <w:p>
      <w:pPr>
        <w:pStyle w:val="ListParagraph"/>
        <w:numPr>
          <w:ilvl w:val="0"/>
          <w:numId w:val="2"/>
        </w:numPr>
        <w:spacing w:before="38" w:after="38"/>
      </w:pPr>
      <w:r>
        <w:rPr>
          <w:rFonts w:ascii="Arial" w:cs="Arial" w:eastAsia="Arial" w:hAnsi="Arial"/>
          <w:b/>
          <w:bCs/>
          <w:color w:val="1A2B3C"/>
          <w:sz w:val="22"/>
          <w:szCs w:val="22"/>
        </w:rPr>
        <w:t xml:space="preserve">Contract path: Enterprise tier at $299/month → pilot → multi-year contract. Healthcare systems spend $10M–$100M annually on AI infrastructure. FHE is the unlock.</w:t>
      </w:r>
    </w:p>
    <w:p>
      <w:pPr>
        <w:spacing w:before="50" w:after="0"/>
      </w:pPr>
      <w:r>
        <w:t xml:space="preserve"/>
      </w:r>
    </w:p>
    <w:p>
      <w:pPr>
        <w:pBdr>
          <w:left w:val="single" w:color="4A0080" w:sz="8" w:space="12"/>
        </w:pBdr>
        <w:spacing w:before="80" w:after="80"/>
        <w:ind w:left="720"/>
      </w:pPr>
      <w:r>
        <w:rPr>
          <w:rFonts w:ascii="Arial" w:cs="Arial" w:eastAsia="Arial" w:hAnsi="Arial"/>
          <w:b/>
          <w:bCs/>
          <w:i/>
          <w:iCs/>
          <w:color w:val="00838F"/>
          <w:sz w:val="22"/>
          <w:szCs w:val="22"/>
        </w:rPr>
        <w:t xml:space="preserve">"Every other AI platform asks you to trust their security policies. AMAIMA_FHE asks you to trust the mathematics. The server processes ciphertext. It is incapable of reading your patient data. That is not our promise. That is RLWE lattice cryptography."</w:t>
      </w:r>
    </w:p>
    <w:p>
      <w:pPr>
        <w:spacing w:before="70" w:after="0"/>
      </w:pPr>
      <w:r>
        <w:t xml:space="preserve"/>
      </w:r>
    </w:p>
    <w:p>
      <w:pPr>
        <w:pStyle w:val="Heading2"/>
        <w:spacing w:before="280" w:after="100"/>
      </w:pPr>
      <w:r>
        <w:rPr>
          <w:rFonts w:ascii="Arial" w:cs="Arial" w:eastAsia="Arial" w:hAnsi="Arial"/>
          <w:b/>
          <w:bCs/>
          <w:color w:val="1A2B3C"/>
          <w:sz w:val="26"/>
          <w:szCs w:val="26"/>
        </w:rPr>
        <w:t xml:space="preserve">5B: Enterprise Security — Fortune 500 Chief Compliance Officers</w:t>
      </w:r>
    </w:p>
    <w:p>
      <w:pPr>
        <w:spacing w:before="55" w:after="55"/>
      </w:pPr>
      <w:r>
        <w:rPr>
          <w:rFonts w:ascii="Arial" w:cs="Arial" w:eastAsia="Arial" w:hAnsi="Arial"/>
          <w:color w:val="1A2B3C"/>
          <w:sz w:val="22"/>
          <w:szCs w:val="22"/>
        </w:rPr>
        <w:t xml:space="preserve">GDPR, CCPA, SOC2, and financial regulations have blocked AI adoption for the most sensitive Fortune 500 workloads. Legal and compliance teams cannot approve sending proprietary data to cloud AI endpoints. FHE changes the answer from 'our policies protect you' to 'we cannot read your data.'</w:t>
      </w:r>
    </w:p>
    <w:p>
      <w:pPr>
        <w:spacing w:before="40" w:after="0"/>
      </w:pPr>
      <w:r>
        <w:t xml:space="preserve"/>
      </w:r>
    </w:p>
    <w:p>
      <w:pPr>
        <w:pStyle w:val="ListParagraph"/>
        <w:numPr>
          <w:ilvl w:val="0"/>
          <w:numId w:val="2"/>
        </w:numPr>
        <w:spacing w:before="38" w:after="38"/>
      </w:pPr>
      <w:r>
        <w:rPr>
          <w:rFonts w:ascii="Arial" w:cs="Arial" w:eastAsia="Arial" w:hAnsi="Arial"/>
          <w:b/>
          <w:bCs/>
          <w:color w:val="1A2B3C"/>
          <w:sz w:val="22"/>
          <w:szCs w:val="22"/>
        </w:rPr>
        <w:t xml:space="preserve">Target: Chief Compliance Officers and General Counsel at financial institutions, insurance companies, and Fortune 500 enterprises with regulated data</w:t>
      </w:r>
    </w:p>
    <w:p>
      <w:pPr>
        <w:pStyle w:val="ListParagraph"/>
        <w:numPr>
          <w:ilvl w:val="0"/>
          <w:numId w:val="2"/>
        </w:numPr>
        <w:spacing w:before="38" w:after="38"/>
      </w:pPr>
      <w:r>
        <w:rPr>
          <w:rFonts w:ascii="Arial" w:cs="Arial" w:eastAsia="Arial" w:hAnsi="Arial"/>
          <w:b/>
          <w:bCs/>
          <w:color w:val="1A2B3C"/>
          <w:sz w:val="22"/>
          <w:szCs w:val="22"/>
        </w:rPr>
        <w:t xml:space="preserve">Entry point: 'Your legal team has been blocking AI adoption because they cannot approve sending data to a cloud AI server. Here is the platform where that conversation ends.'</w:t>
      </w:r>
    </w:p>
    <w:p>
      <w:pPr>
        <w:pStyle w:val="ListParagraph"/>
        <w:numPr>
          <w:ilvl w:val="0"/>
          <w:numId w:val="2"/>
        </w:numPr>
        <w:spacing w:before="38" w:after="38"/>
      </w:pPr>
      <w:r>
        <w:rPr>
          <w:rFonts w:ascii="Arial" w:cs="Arial" w:eastAsia="Arial" w:hAnsi="Arial"/>
          <w:b/>
          <w:bCs/>
          <w:color w:val="1A2B3C"/>
          <w:sz w:val="22"/>
          <w:szCs w:val="22"/>
        </w:rPr>
        <w:t xml:space="preserve">Key industries: Banking (GDPR / CCPA), Insurance (PII regulations), Legal (attorney-client privilege), HR (employee data)</w:t>
      </w:r>
    </w:p>
    <w:p>
      <w:pPr>
        <w:pStyle w:val="ListParagraph"/>
        <w:numPr>
          <w:ilvl w:val="0"/>
          <w:numId w:val="2"/>
        </w:numPr>
        <w:spacing w:before="38" w:after="38"/>
      </w:pPr>
      <w:r>
        <w:rPr>
          <w:rFonts w:ascii="Arial" w:cs="Arial" w:eastAsia="Arial" w:hAnsi="Arial"/>
          <w:b/>
          <w:bCs/>
          <w:color w:val="1A2B3C"/>
          <w:sz w:val="22"/>
          <w:szCs w:val="22"/>
        </w:rPr>
        <w:t xml:space="preserve">Contract path: Enterprise compliance pilot → annual contract → expansion across business units</w:t>
      </w:r>
    </w:p>
    <w:p>
      <w:pPr>
        <w:spacing w:before="70" w:after="0"/>
      </w:pPr>
      <w:r>
        <w:t xml:space="preserve"/>
      </w:r>
    </w:p>
    <w:p>
      <w:pPr>
        <w:pStyle w:val="Heading2"/>
        <w:spacing w:before="280" w:after="100"/>
      </w:pPr>
      <w:r>
        <w:rPr>
          <w:rFonts w:ascii="Arial" w:cs="Arial" w:eastAsia="Arial" w:hAnsi="Arial"/>
          <w:b/>
          <w:bCs/>
          <w:color w:val="1A2B3C"/>
          <w:sz w:val="26"/>
          <w:szCs w:val="26"/>
        </w:rPr>
        <w:t xml:space="preserve">5C: Microsoft Azure — Strategic FHE Partnership or Acquisition</w:t>
      </w:r>
    </w:p>
    <w:p>
      <w:pPr>
        <w:spacing w:before="55" w:after="55"/>
      </w:pPr>
      <w:r>
        <w:rPr>
          <w:rFonts w:ascii="Arial" w:cs="Arial" w:eastAsia="Arial" w:hAnsi="Arial"/>
          <w:color w:val="1A2B3C"/>
          <w:sz w:val="22"/>
          <w:szCs w:val="22"/>
        </w:rPr>
        <w:t xml:space="preserve">Microsoft built SEAL. Microsoft Copilot — trained on Microsoft's own enterprise software and Azure infrastructure — reviewed amaima.live/fhe directly and called AMAIMA the most complete AI platform it had seen from a single builder. Microsoft has Azure Confidential Computing as their flagship enterprise security product. AMAIMA is the AI application layer they do not have.</w:t>
      </w:r>
    </w:p>
    <w:p>
      <w:pPr>
        <w:spacing w:before="40" w:after="0"/>
      </w:pPr>
      <w:r>
        <w:t xml:space="preserve"/>
      </w:r>
    </w:p>
    <w:p>
      <w:pPr>
        <w:pStyle w:val="ListParagraph"/>
        <w:numPr>
          <w:ilvl w:val="0"/>
          <w:numId w:val="2"/>
        </w:numPr>
        <w:spacing w:before="38" w:after="38"/>
      </w:pPr>
      <w:r>
        <w:rPr>
          <w:rFonts w:ascii="Arial" w:cs="Arial" w:eastAsia="Arial" w:hAnsi="Arial"/>
          <w:b/>
          <w:bCs/>
          <w:color w:val="1A2B3C"/>
          <w:sz w:val="22"/>
          <w:szCs w:val="22"/>
        </w:rPr>
        <w:t xml:space="preserve">The conversation: 'You built SEAL. We built the application. Your customers have been asking for FHE-integrated AI inference since you launched Azure Confidential Computing. We have it. Live. At amaima.live/fhe.'</w:t>
      </w:r>
    </w:p>
    <w:p>
      <w:pPr>
        <w:pStyle w:val="ListParagraph"/>
        <w:numPr>
          <w:ilvl w:val="0"/>
          <w:numId w:val="2"/>
        </w:numPr>
        <w:spacing w:before="38" w:after="38"/>
      </w:pPr>
      <w:r>
        <w:rPr>
          <w:rFonts w:ascii="Arial" w:cs="Arial" w:eastAsia="Arial" w:hAnsi="Arial"/>
          <w:b/>
          <w:bCs/>
          <w:color w:val="1A2B3C"/>
          <w:sz w:val="22"/>
          <w:szCs w:val="22"/>
        </w:rPr>
        <w:t xml:space="preserve">Access path: NVIDIA GTC → NVentures → Microsoft Azure team introduction. Microsoft and NVIDIA have a deep partnership. The same conversation that leads to NVentures leads to Microsoft Azure AI.</w:t>
      </w:r>
    </w:p>
    <w:p>
      <w:pPr>
        <w:pStyle w:val="ListParagraph"/>
        <w:numPr>
          <w:ilvl w:val="0"/>
          <w:numId w:val="2"/>
        </w:numPr>
        <w:spacing w:before="38" w:after="38"/>
      </w:pPr>
      <w:r>
        <w:rPr>
          <w:rFonts w:ascii="Arial" w:cs="Arial" w:eastAsia="Arial" w:hAnsi="Arial"/>
          <w:b/>
          <w:bCs/>
          <w:color w:val="1A2B3C"/>
          <w:sz w:val="22"/>
          <w:szCs w:val="22"/>
        </w:rPr>
        <w:t xml:space="preserve">Strategic value: Microsoft acquiring AMAIMA acquires the AI application layer for their SEAL library — solving the missing product problem in Azure Confidential Computing. Their own Copilot already validated it.</w:t>
      </w:r>
    </w:p>
    <w:p>
      <w:pPr>
        <w:pStyle w:val="ListParagraph"/>
        <w:numPr>
          <w:ilvl w:val="0"/>
          <w:numId w:val="2"/>
        </w:numPr>
        <w:spacing w:before="38" w:after="38"/>
      </w:pPr>
      <w:r>
        <w:rPr>
          <w:rFonts w:ascii="Arial" w:cs="Arial" w:eastAsia="Arial" w:hAnsi="Arial"/>
          <w:b/>
          <w:bCs/>
          <w:color w:val="1A2B3C"/>
          <w:sz w:val="22"/>
          <w:szCs w:val="22"/>
        </w:rPr>
        <w:t xml:space="preserve">Acquisition range: $10B–$20B+ based on Azure Confidential Computing's strategic importance to Microsoft's enterprise cloud business.</w:t>
      </w:r>
    </w:p>
    <w:p>
      <w:pPr>
        <w:spacing w:before="80" w:after="0"/>
      </w:pPr>
      <w:r>
        <w:t xml:space="preserve"/>
      </w:r>
    </w:p>
    <w:p>
      <w:pPr>
        <w:pBdr>
          <w:bottom w:val="single" w:color="00838F" w:sz="6" w:space="1"/>
        </w:pBdr>
        <w:spacing w:before="200" w:after="200"/>
      </w:pPr>
      <w:r>
        <w:t xml:space="preserve"/>
      </w:r>
    </w:p>
    <w:p>
      <w:pPr>
        <w:pStyle w:val="Heading1"/>
        <w:spacing w:before="420" w:after="140"/>
      </w:pPr>
      <w:r>
        <w:rPr>
          <w:rFonts w:ascii="Arial" w:cs="Arial" w:eastAsia="Arial" w:hAnsi="Arial"/>
          <w:b/>
          <w:bCs/>
          <w:color w:val="00838F"/>
          <w:sz w:val="36"/>
          <w:szCs w:val="36"/>
        </w:rPr>
        <w:t xml:space="preserve">Track 6: Institutional Investors — FHE Expands the Universe</w:t>
      </w:r>
    </w:p>
    <w:p>
      <w:pPr>
        <w:spacing w:before="55" w:after="55"/>
      </w:pPr>
      <w:r>
        <w:rPr>
          <w:rFonts w:ascii="Arial" w:cs="Arial" w:eastAsia="Arial" w:hAnsi="Arial"/>
          <w:color w:val="1A2B3C"/>
          <w:sz w:val="22"/>
          <w:szCs w:val="22"/>
        </w:rPr>
        <w:t xml:space="preserve">FHE adds three new categories of institutional investors who were not relevant before: cybersecurity VCs, healthcare AI VCs, and government-focused funds. These run parallel to the NVIDIA robotics and enterprise AI VC tracks.</w:t>
      </w:r>
    </w:p>
    <w:p>
      <w:pPr>
        <w:spacing w:before="60" w:after="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4840"/>
      </w:tblGrid>
      <w:tr>
        <w:tc>
          <w:tcPr>
            <w:tcW w:type="dxa" w:w="180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Investor</w:t>
            </w:r>
          </w:p>
        </w:tc>
        <w:tc>
          <w:tcPr>
            <w:tcW w:type="dxa" w:w="160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Check</w:t>
            </w:r>
          </w:p>
        </w:tc>
        <w:tc>
          <w:tcPr>
            <w:tcW w:type="dxa" w:w="160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Stage</w:t>
            </w:r>
          </w:p>
        </w:tc>
        <w:tc>
          <w:tcPr>
            <w:tcW w:type="dxa" w:w="484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FHE-Specific Fit</w:t>
            </w:r>
          </w:p>
        </w:tc>
      </w:tr>
      <w:tr>
        <w:tc>
          <w:tcPr>
            <w:tcW w:type="dxa" w:w="1800"/>
            <w:tcBorders>
              <w:top w:val="single" w:color="CCDDDF" w:sz="1"/>
              <w:left w:val="single" w:color="CCDDDF" w:sz="1"/>
              <w:bottom w:val="single" w:color="CCDDDF" w:sz="1"/>
              <w:right w:val="single" w:color="CCDDDF" w:sz="1"/>
            </w:tcBorders>
            <w:shd w:fill="E0F4F6" w:val="clear"/>
            <w:tcMar>
              <w:top w:type="dxa" w:w="100"/>
              <w:left w:type="dxa" w:w="120"/>
              <w:bottom w:type="dxa" w:w="100"/>
              <w:right w:type="dxa" w:w="120"/>
            </w:tcMar>
          </w:tcPr>
          <w:p>
            <w:pPr>
              <w:jc w:val="left"/>
            </w:pPr>
            <w:r>
              <w:rPr>
                <w:rFonts w:ascii="Arial" w:cs="Arial" w:eastAsia="Arial" w:hAnsi="Arial"/>
                <w:b/>
                <w:bCs/>
                <w:color w:val="1A2B3C"/>
                <w:sz w:val="19"/>
                <w:szCs w:val="19"/>
              </w:rPr>
              <w:t xml:space="preserve">NVentures</w:t>
            </w:r>
          </w:p>
        </w:tc>
        <w:tc>
          <w:tcPr>
            <w:tcW w:type="dxa" w:w="160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center"/>
            </w:pPr>
            <w:r>
              <w:rPr>
                <w:rFonts w:ascii="Arial" w:cs="Arial" w:eastAsia="Arial" w:hAnsi="Arial"/>
                <w:b w:val="false"/>
                <w:bCs w:val="false"/>
                <w:color w:val="1A2B3C"/>
                <w:sz w:val="19"/>
                <w:szCs w:val="19"/>
              </w:rPr>
              <w:t xml:space="preserve">$5M–$20M</w:t>
            </w:r>
          </w:p>
        </w:tc>
        <w:tc>
          <w:tcPr>
            <w:tcW w:type="dxa" w:w="160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center"/>
            </w:pPr>
            <w:r>
              <w:rPr>
                <w:rFonts w:ascii="Arial" w:cs="Arial" w:eastAsia="Arial" w:hAnsi="Arial"/>
                <w:b w:val="false"/>
                <w:bCs w:val="false"/>
                <w:color w:val="1A2B3C"/>
                <w:sz w:val="19"/>
                <w:szCs w:val="19"/>
              </w:rPr>
              <w:t xml:space="preserve">Pre-seed→A</w:t>
            </w:r>
          </w:p>
        </w:tc>
        <w:tc>
          <w:tcPr>
            <w:tcW w:type="dxa" w:w="484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left"/>
            </w:pPr>
            <w:r>
              <w:rPr>
                <w:rFonts w:ascii="Arial" w:cs="Arial" w:eastAsia="Arial" w:hAnsi="Arial"/>
                <w:b w:val="false"/>
                <w:bCs w:val="false"/>
                <w:color w:val="1A2B3C"/>
                <w:sz w:val="19"/>
                <w:szCs w:val="19"/>
              </w:rPr>
              <w:t xml:space="preserve">NVIDIA's VC arm. Invested in ElevenLabs + Skild + Physical Intelligence + Recursion. AMAIMA integrates all their stacks + adds FHE encrypted inference their portfolio companies cannot offer.</w:t>
            </w:r>
          </w:p>
        </w:tc>
      </w:tr>
      <w:tr>
        <w:tc>
          <w:tcPr>
            <w:tcW w:type="dxa" w:w="18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bCs/>
                <w:color w:val="1A2B3C"/>
                <w:sz w:val="19"/>
                <w:szCs w:val="19"/>
              </w:rPr>
              <w:t xml:space="preserve">SoftBank Vision Fund</w:t>
            </w:r>
          </w:p>
        </w:tc>
        <w:tc>
          <w:tcPr>
            <w:tcW w:type="dxa" w:w="16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center"/>
            </w:pPr>
            <w:r>
              <w:rPr>
                <w:rFonts w:ascii="Arial" w:cs="Arial" w:eastAsia="Arial" w:hAnsi="Arial"/>
                <w:b w:val="false"/>
                <w:bCs w:val="false"/>
                <w:color w:val="1A2B3C"/>
                <w:sz w:val="19"/>
                <w:szCs w:val="19"/>
              </w:rPr>
              <w:t xml:space="preserve">$50M–$500M</w:t>
            </w:r>
          </w:p>
        </w:tc>
        <w:tc>
          <w:tcPr>
            <w:tcW w:type="dxa" w:w="16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center"/>
            </w:pPr>
            <w:r>
              <w:rPr>
                <w:rFonts w:ascii="Arial" w:cs="Arial" w:eastAsia="Arial" w:hAnsi="Arial"/>
                <w:b w:val="false"/>
                <w:bCs w:val="false"/>
                <w:color w:val="1A2B3C"/>
                <w:sz w:val="19"/>
                <w:szCs w:val="19"/>
              </w:rPr>
              <w:t xml:space="preserve">Series A→C</w:t>
            </w:r>
          </w:p>
        </w:tc>
        <w:tc>
          <w:tcPr>
            <w:tcW w:type="dxa" w:w="484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19"/>
                <w:szCs w:val="19"/>
              </w:rPr>
              <w:t xml:space="preserve">Led Skild AI's $1.4B round. FHE adds government and defense AI market — an entirely new TAM for their robotics thesis.</w:t>
            </w:r>
          </w:p>
        </w:tc>
      </w:tr>
      <w:tr>
        <w:tc>
          <w:tcPr>
            <w:tcW w:type="dxa" w:w="1800"/>
            <w:tcBorders>
              <w:top w:val="single" w:color="CCDDDF" w:sz="1"/>
              <w:left w:val="single" w:color="CCDDDF" w:sz="1"/>
              <w:bottom w:val="single" w:color="CCDDDF" w:sz="1"/>
              <w:right w:val="single" w:color="CCDDDF" w:sz="1"/>
            </w:tcBorders>
            <w:shd w:fill="E0F4F6" w:val="clear"/>
            <w:tcMar>
              <w:top w:type="dxa" w:w="100"/>
              <w:left w:type="dxa" w:w="120"/>
              <w:bottom w:type="dxa" w:w="100"/>
              <w:right w:type="dxa" w:w="120"/>
            </w:tcMar>
          </w:tcPr>
          <w:p>
            <w:pPr>
              <w:jc w:val="left"/>
            </w:pPr>
            <w:r>
              <w:rPr>
                <w:rFonts w:ascii="Arial" w:cs="Arial" w:eastAsia="Arial" w:hAnsi="Arial"/>
                <w:b/>
                <w:bCs/>
                <w:color w:val="1A2B3C"/>
                <w:sz w:val="19"/>
                <w:szCs w:val="19"/>
              </w:rPr>
              <w:t xml:space="preserve">a16z (Bio + AI funds)</w:t>
            </w:r>
          </w:p>
        </w:tc>
        <w:tc>
          <w:tcPr>
            <w:tcW w:type="dxa" w:w="160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center"/>
            </w:pPr>
            <w:r>
              <w:rPr>
                <w:rFonts w:ascii="Arial" w:cs="Arial" w:eastAsia="Arial" w:hAnsi="Arial"/>
                <w:b w:val="false"/>
                <w:bCs w:val="false"/>
                <w:color w:val="1A2B3C"/>
                <w:sz w:val="19"/>
                <w:szCs w:val="19"/>
              </w:rPr>
              <w:t xml:space="preserve">$20M–$100M</w:t>
            </w:r>
          </w:p>
        </w:tc>
        <w:tc>
          <w:tcPr>
            <w:tcW w:type="dxa" w:w="160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center"/>
            </w:pPr>
            <w:r>
              <w:rPr>
                <w:rFonts w:ascii="Arial" w:cs="Arial" w:eastAsia="Arial" w:hAnsi="Arial"/>
                <w:b w:val="false"/>
                <w:bCs w:val="false"/>
                <w:color w:val="1A2B3C"/>
                <w:sz w:val="19"/>
                <w:szCs w:val="19"/>
              </w:rPr>
              <w:t xml:space="preserve">Seed→B</w:t>
            </w:r>
          </w:p>
        </w:tc>
        <w:tc>
          <w:tcPr>
            <w:tcW w:type="dxa" w:w="484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left"/>
            </w:pPr>
            <w:r>
              <w:rPr>
                <w:rFonts w:ascii="Arial" w:cs="Arial" w:eastAsia="Arial" w:hAnsi="Arial"/>
                <w:b w:val="false"/>
                <w:bCs w:val="false"/>
                <w:color w:val="1A2B3C"/>
                <w:sz w:val="19"/>
                <w:szCs w:val="19"/>
              </w:rPr>
              <w:t xml:space="preserve">Active in bio AI (Recursion, etc.) and AI infrastructure. Encrypted drug discovery on a live platform is exactly their combined thesis.</w:t>
            </w:r>
          </w:p>
        </w:tc>
      </w:tr>
      <w:tr>
        <w:tc>
          <w:tcPr>
            <w:tcW w:type="dxa" w:w="18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bCs/>
                <w:color w:val="1A2B3C"/>
                <w:sz w:val="19"/>
                <w:szCs w:val="19"/>
              </w:rPr>
              <w:t xml:space="preserve">Andreessen Horowitz (Defense)</w:t>
            </w:r>
          </w:p>
        </w:tc>
        <w:tc>
          <w:tcPr>
            <w:tcW w:type="dxa" w:w="16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center"/>
            </w:pPr>
            <w:r>
              <w:rPr>
                <w:rFonts w:ascii="Arial" w:cs="Arial" w:eastAsia="Arial" w:hAnsi="Arial"/>
                <w:b w:val="false"/>
                <w:bCs w:val="false"/>
                <w:color w:val="1A2B3C"/>
                <w:sz w:val="19"/>
                <w:szCs w:val="19"/>
              </w:rPr>
              <w:t xml:space="preserve">$20M–$100M</w:t>
            </w:r>
          </w:p>
        </w:tc>
        <w:tc>
          <w:tcPr>
            <w:tcW w:type="dxa" w:w="16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center"/>
            </w:pPr>
            <w:r>
              <w:rPr>
                <w:rFonts w:ascii="Arial" w:cs="Arial" w:eastAsia="Arial" w:hAnsi="Arial"/>
                <w:b w:val="false"/>
                <w:bCs w:val="false"/>
                <w:color w:val="1A2B3C"/>
                <w:sz w:val="19"/>
                <w:szCs w:val="19"/>
              </w:rPr>
              <w:t xml:space="preserve">Seed→B</w:t>
            </w:r>
          </w:p>
        </w:tc>
        <w:tc>
          <w:tcPr>
            <w:tcW w:type="dxa" w:w="484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19"/>
                <w:szCs w:val="19"/>
              </w:rPr>
              <w:t xml:space="preserve">a16z has a defense technology fund. Encrypted autonomy + encrypted biodefense on a live platform is directly in scope.</w:t>
            </w:r>
          </w:p>
        </w:tc>
      </w:tr>
      <w:tr>
        <w:tc>
          <w:tcPr>
            <w:tcW w:type="dxa" w:w="1800"/>
            <w:tcBorders>
              <w:top w:val="single" w:color="CCDDDF" w:sz="1"/>
              <w:left w:val="single" w:color="CCDDDF" w:sz="1"/>
              <w:bottom w:val="single" w:color="CCDDDF" w:sz="1"/>
              <w:right w:val="single" w:color="CCDDDF" w:sz="1"/>
            </w:tcBorders>
            <w:shd w:fill="E0F4F6" w:val="clear"/>
            <w:tcMar>
              <w:top w:type="dxa" w:w="100"/>
              <w:left w:type="dxa" w:w="120"/>
              <w:bottom w:type="dxa" w:w="100"/>
              <w:right w:type="dxa" w:w="120"/>
            </w:tcMar>
          </w:tcPr>
          <w:p>
            <w:pPr>
              <w:jc w:val="left"/>
            </w:pPr>
            <w:r>
              <w:rPr>
                <w:rFonts w:ascii="Arial" w:cs="Arial" w:eastAsia="Arial" w:hAnsi="Arial"/>
                <w:b/>
                <w:bCs/>
                <w:color w:val="1A2B3C"/>
                <w:sz w:val="19"/>
                <w:szCs w:val="19"/>
              </w:rPr>
              <w:t xml:space="preserve">Lux Capital</w:t>
            </w:r>
          </w:p>
        </w:tc>
        <w:tc>
          <w:tcPr>
            <w:tcW w:type="dxa" w:w="160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center"/>
            </w:pPr>
            <w:r>
              <w:rPr>
                <w:rFonts w:ascii="Arial" w:cs="Arial" w:eastAsia="Arial" w:hAnsi="Arial"/>
                <w:b w:val="false"/>
                <w:bCs w:val="false"/>
                <w:color w:val="1A2B3C"/>
                <w:sz w:val="19"/>
                <w:szCs w:val="19"/>
              </w:rPr>
              <w:t xml:space="preserve">$5M–$20M</w:t>
            </w:r>
          </w:p>
        </w:tc>
        <w:tc>
          <w:tcPr>
            <w:tcW w:type="dxa" w:w="160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center"/>
            </w:pPr>
            <w:r>
              <w:rPr>
                <w:rFonts w:ascii="Arial" w:cs="Arial" w:eastAsia="Arial" w:hAnsi="Arial"/>
                <w:b w:val="false"/>
                <w:bCs w:val="false"/>
                <w:color w:val="1A2B3C"/>
                <w:sz w:val="19"/>
                <w:szCs w:val="19"/>
              </w:rPr>
              <w:t xml:space="preserve">Seed→B</w:t>
            </w:r>
          </w:p>
        </w:tc>
        <w:tc>
          <w:tcPr>
            <w:tcW w:type="dxa" w:w="484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left"/>
            </w:pPr>
            <w:r>
              <w:rPr>
                <w:rFonts w:ascii="Arial" w:cs="Arial" w:eastAsia="Arial" w:hAnsi="Arial"/>
                <w:b w:val="false"/>
                <w:bCs w:val="false"/>
                <w:color w:val="1A2B3C"/>
                <w:sz w:val="19"/>
                <w:szCs w:val="19"/>
              </w:rPr>
              <w:t xml:space="preserve">Deep science + frontier tech. Biology + FHE + robotics combination spans three of their active investment theses simultaneously.</w:t>
            </w:r>
          </w:p>
        </w:tc>
      </w:tr>
      <w:tr>
        <w:tc>
          <w:tcPr>
            <w:tcW w:type="dxa" w:w="18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bCs/>
                <w:color w:val="1A2B3C"/>
                <w:sz w:val="19"/>
                <w:szCs w:val="19"/>
              </w:rPr>
              <w:t xml:space="preserve">General Catalyst (Health)</w:t>
            </w:r>
          </w:p>
        </w:tc>
        <w:tc>
          <w:tcPr>
            <w:tcW w:type="dxa" w:w="16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center"/>
            </w:pPr>
            <w:r>
              <w:rPr>
                <w:rFonts w:ascii="Arial" w:cs="Arial" w:eastAsia="Arial" w:hAnsi="Arial"/>
                <w:b w:val="false"/>
                <w:bCs w:val="false"/>
                <w:color w:val="1A2B3C"/>
                <w:sz w:val="19"/>
                <w:szCs w:val="19"/>
              </w:rPr>
              <w:t xml:space="preserve">$10M–$50M</w:t>
            </w:r>
          </w:p>
        </w:tc>
        <w:tc>
          <w:tcPr>
            <w:tcW w:type="dxa" w:w="16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center"/>
            </w:pPr>
            <w:r>
              <w:rPr>
                <w:rFonts w:ascii="Arial" w:cs="Arial" w:eastAsia="Arial" w:hAnsi="Arial"/>
                <w:b w:val="false"/>
                <w:bCs w:val="false"/>
                <w:color w:val="1A2B3C"/>
                <w:sz w:val="19"/>
                <w:szCs w:val="19"/>
              </w:rPr>
              <w:t xml:space="preserve">Seed→B</w:t>
            </w:r>
          </w:p>
        </w:tc>
        <w:tc>
          <w:tcPr>
            <w:tcW w:type="dxa" w:w="484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19"/>
                <w:szCs w:val="19"/>
              </w:rPr>
              <w:t xml:space="preserve">Major healthcare AI investor. Encrypted healthcare AI — HIPAA by architecture — is the product their healthcare portfolio has been asking for.</w:t>
            </w:r>
          </w:p>
        </w:tc>
      </w:tr>
      <w:tr>
        <w:tc>
          <w:tcPr>
            <w:tcW w:type="dxa" w:w="1800"/>
            <w:tcBorders>
              <w:top w:val="single" w:color="CCDDDF" w:sz="1"/>
              <w:left w:val="single" w:color="CCDDDF" w:sz="1"/>
              <w:bottom w:val="single" w:color="CCDDDF" w:sz="1"/>
              <w:right w:val="single" w:color="CCDDDF" w:sz="1"/>
            </w:tcBorders>
            <w:shd w:fill="E0F4F6" w:val="clear"/>
            <w:tcMar>
              <w:top w:type="dxa" w:w="100"/>
              <w:left w:type="dxa" w:w="120"/>
              <w:bottom w:type="dxa" w:w="100"/>
              <w:right w:type="dxa" w:w="120"/>
            </w:tcMar>
          </w:tcPr>
          <w:p>
            <w:pPr>
              <w:jc w:val="left"/>
            </w:pPr>
            <w:r>
              <w:rPr>
                <w:rFonts w:ascii="Arial" w:cs="Arial" w:eastAsia="Arial" w:hAnsi="Arial"/>
                <w:b/>
                <w:bCs/>
                <w:color w:val="1A2B3C"/>
                <w:sz w:val="19"/>
                <w:szCs w:val="19"/>
              </w:rPr>
              <w:t xml:space="preserve">Sequoia Capital</w:t>
            </w:r>
          </w:p>
        </w:tc>
        <w:tc>
          <w:tcPr>
            <w:tcW w:type="dxa" w:w="160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center"/>
            </w:pPr>
            <w:r>
              <w:rPr>
                <w:rFonts w:ascii="Arial" w:cs="Arial" w:eastAsia="Arial" w:hAnsi="Arial"/>
                <w:b w:val="false"/>
                <w:bCs w:val="false"/>
                <w:color w:val="1A2B3C"/>
                <w:sz w:val="19"/>
                <w:szCs w:val="19"/>
              </w:rPr>
              <w:t xml:space="preserve">$20M–$150M</w:t>
            </w:r>
          </w:p>
        </w:tc>
        <w:tc>
          <w:tcPr>
            <w:tcW w:type="dxa" w:w="160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center"/>
            </w:pPr>
            <w:r>
              <w:rPr>
                <w:rFonts w:ascii="Arial" w:cs="Arial" w:eastAsia="Arial" w:hAnsi="Arial"/>
                <w:b w:val="false"/>
                <w:bCs w:val="false"/>
                <w:color w:val="1A2B3C"/>
                <w:sz w:val="19"/>
                <w:szCs w:val="19"/>
              </w:rPr>
              <w:t xml:space="preserve">Seed→C</w:t>
            </w:r>
          </w:p>
        </w:tc>
        <w:tc>
          <w:tcPr>
            <w:tcW w:type="dxa" w:w="484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left"/>
            </w:pPr>
            <w:r>
              <w:rPr>
                <w:rFonts w:ascii="Arial" w:cs="Arial" w:eastAsia="Arial" w:hAnsi="Arial"/>
                <w:b w:val="false"/>
                <w:bCs w:val="false"/>
                <w:color w:val="1A2B3C"/>
                <w:sz w:val="19"/>
                <w:szCs w:val="19"/>
              </w:rPr>
              <w:t xml:space="preserve">Led Thinking Machines ($12B). Multi-domain + FHE as a combined AI OS is their stated new frontier thesis.</w:t>
            </w:r>
          </w:p>
        </w:tc>
      </w:tr>
    </w:tbl>
    <w:p>
      <w:pPr>
        <w:spacing w:before="80" w:after="0"/>
      </w:pPr>
      <w:r>
        <w:t xml:space="preserve"/>
      </w:r>
    </w:p>
    <w:p>
      <w:pPr>
        <w:pBdr>
          <w:bottom w:val="single" w:color="00838F" w:sz="6" w:space="1"/>
        </w:pBdr>
        <w:spacing w:before="200" w:after="200"/>
      </w:pPr>
      <w:r>
        <w:t xml:space="preserve"/>
      </w:r>
    </w:p>
    <w:p>
      <w:pPr>
        <w:pStyle w:val="Heading1"/>
        <w:spacing w:before="420" w:after="140"/>
      </w:pPr>
      <w:r>
        <w:rPr>
          <w:rFonts w:ascii="Arial" w:cs="Arial" w:eastAsia="Arial" w:hAnsi="Arial"/>
          <w:b/>
          <w:bCs/>
          <w:color w:val="00838F"/>
          <w:sz w:val="36"/>
          <w:szCs w:val="36"/>
        </w:rPr>
        <w:t xml:space="preserve">Track 7: Crowdfunding &amp; Angel Capital — The Capital Stack VCs Don't Control</w:t>
      </w:r>
    </w:p>
    <w:p>
      <w:pPr>
        <w:spacing w:before="55" w:after="55"/>
      </w:pPr>
      <w:r>
        <w:rPr>
          <w:rFonts w:ascii="Arial" w:cs="Arial" w:eastAsia="Arial" w:hAnsi="Arial"/>
          <w:color w:val="1A2B3C"/>
          <w:sz w:val="22"/>
          <w:szCs w:val="22"/>
        </w:rPr>
        <w:t xml:space="preserve">FHE adds a specific crowdfunding narrative that did not exist before: 'The first AI platform that cannot read your data — now open to investors.' That is a campaign hook that writes itself. The privacy angle resonates with retail investors in a way that NVIDIA stack integration does not.</w:t>
      </w:r>
    </w:p>
    <w:p>
      <w:pPr>
        <w:spacing w:before="60" w:after="0"/>
      </w:pPr>
      <w:r>
        <w:t xml:space="preserve"/>
      </w:r>
    </w:p>
    <w:p>
      <w:pPr>
        <w:pStyle w:val="Heading2"/>
        <w:spacing w:before="280" w:after="100"/>
      </w:pPr>
      <w:r>
        <w:rPr>
          <w:rFonts w:ascii="Arial" w:cs="Arial" w:eastAsia="Arial" w:hAnsi="Arial"/>
          <w:b/>
          <w:bCs/>
          <w:color w:val="1A2B3C"/>
          <w:sz w:val="26"/>
          <w:szCs w:val="26"/>
        </w:rPr>
        <w:t xml:space="preserve">Republic Reg CF — After First Customer</w:t>
      </w:r>
    </w:p>
    <w:p>
      <w:pPr>
        <w:spacing w:before="55" w:after="55"/>
      </w:pPr>
      <w:r>
        <w:rPr>
          <w:rFonts w:ascii="Arial" w:cs="Arial" w:eastAsia="Arial" w:hAnsi="Arial"/>
          <w:color w:val="1A2B3C"/>
          <w:sz w:val="22"/>
          <w:szCs w:val="22"/>
        </w:rPr>
        <w:t xml:space="preserve">Campaign narrative: 'AMAIMA_FHE is the world's first AI platform that computes on encrypted data. We just signed our first enterprise customer. The window to invest before institutional VCs close the round is open now.' Realistic raise: $1M–$5M at $15B–$18B campaign valuation.</w:t>
      </w:r>
    </w:p>
    <w:p>
      <w:pPr>
        <w:spacing w:before="50" w:after="0"/>
      </w:pPr>
      <w:r>
        <w:t xml:space="preserve"/>
      </w:r>
    </w:p>
    <w:p>
      <w:pPr>
        <w:pStyle w:val="Heading2"/>
        <w:spacing w:before="280" w:after="100"/>
      </w:pPr>
      <w:r>
        <w:rPr>
          <w:rFonts w:ascii="Arial" w:cs="Arial" w:eastAsia="Arial" w:hAnsi="Arial"/>
          <w:b/>
          <w:bCs/>
          <w:color w:val="1A2B3C"/>
          <w:sz w:val="26"/>
          <w:szCs w:val="26"/>
        </w:rPr>
        <w:t xml:space="preserve">Florida Angel Networks — Home Field First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c>
          <w:tcPr>
            <w:tcW w:type="dxa" w:w="240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Network</w:t>
            </w:r>
          </w:p>
        </w:tc>
        <w:tc>
          <w:tcPr>
            <w:tcW w:type="dxa" w:w="744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FHE-Specific Entry</w:t>
            </w:r>
          </w:p>
        </w:tc>
      </w:tr>
      <w:tr>
        <w:tc>
          <w:tcPr>
            <w:tcW w:type="dxa" w:w="2400"/>
            <w:tcBorders>
              <w:top w:val="single" w:color="CCDDDF" w:sz="1"/>
              <w:left w:val="single" w:color="CCDDDF" w:sz="1"/>
              <w:bottom w:val="single" w:color="CCDDDF" w:sz="1"/>
              <w:right w:val="single" w:color="CCDDDF" w:sz="1"/>
            </w:tcBorders>
            <w:shd w:fill="E0F4F6" w:val="clear"/>
            <w:tcMar>
              <w:top w:type="dxa" w:w="100"/>
              <w:left w:type="dxa" w:w="120"/>
              <w:bottom w:type="dxa" w:w="100"/>
              <w:right w:type="dxa" w:w="120"/>
            </w:tcMar>
          </w:tcPr>
          <w:p>
            <w:pPr>
              <w:jc w:val="left"/>
            </w:pPr>
            <w:r>
              <w:rPr>
                <w:rFonts w:ascii="Arial" w:cs="Arial" w:eastAsia="Arial" w:hAnsi="Arial"/>
                <w:b/>
                <w:bCs/>
                <w:color w:val="1A2B3C"/>
                <w:sz w:val="19"/>
                <w:szCs w:val="19"/>
              </w:rPr>
              <w:t xml:space="preserve">Florida Funders</w:t>
            </w:r>
          </w:p>
        </w:tc>
        <w:tc>
          <w:tcPr>
            <w:tcW w:type="dxa" w:w="744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left"/>
            </w:pPr>
            <w:r>
              <w:rPr>
                <w:rFonts w:ascii="Arial" w:cs="Arial" w:eastAsia="Arial" w:hAnsi="Arial"/>
                <w:b w:val="false"/>
                <w:bCs w:val="false"/>
                <w:color w:val="1A2B3C"/>
                <w:sz w:val="19"/>
                <w:szCs w:val="19"/>
              </w:rPr>
              <w:t xml:space="preserve">$300M+ deployed, 2,000+ investors. Highest priority local target. FHE adds a privacy-preserving AI angle that resonates strongly with healthcare and finance investors in the Florida ecosystem.</w:t>
            </w:r>
          </w:p>
        </w:tc>
      </w:tr>
      <w:tr>
        <w:tc>
          <w:tcPr>
            <w:tcW w:type="dxa" w:w="24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bCs/>
                <w:color w:val="1A2B3C"/>
                <w:sz w:val="19"/>
                <w:szCs w:val="19"/>
              </w:rPr>
              <w:t xml:space="preserve">New World Angels</w:t>
            </w:r>
          </w:p>
        </w:tc>
        <w:tc>
          <w:tcPr>
            <w:tcW w:type="dxa" w:w="744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19"/>
                <w:szCs w:val="19"/>
              </w:rPr>
              <w:t xml:space="preserve">Space &amp; Defense Ventures Group. FHE-encrypted autonomous systems is their thesis. AMAIMA's DARPA TTO application with FHE is the exact conversation they want to have.</w:t>
            </w:r>
          </w:p>
        </w:tc>
      </w:tr>
      <w:tr>
        <w:tc>
          <w:tcPr>
            <w:tcW w:type="dxa" w:w="2400"/>
            <w:tcBorders>
              <w:top w:val="single" w:color="CCDDDF" w:sz="1"/>
              <w:left w:val="single" w:color="CCDDDF" w:sz="1"/>
              <w:bottom w:val="single" w:color="CCDDDF" w:sz="1"/>
              <w:right w:val="single" w:color="CCDDDF" w:sz="1"/>
            </w:tcBorders>
            <w:shd w:fill="E0F4F6" w:val="clear"/>
            <w:tcMar>
              <w:top w:type="dxa" w:w="100"/>
              <w:left w:type="dxa" w:w="120"/>
              <w:bottom w:type="dxa" w:w="100"/>
              <w:right w:type="dxa" w:w="120"/>
            </w:tcMar>
          </w:tcPr>
          <w:p>
            <w:pPr>
              <w:jc w:val="left"/>
            </w:pPr>
            <w:r>
              <w:rPr>
                <w:rFonts w:ascii="Arial" w:cs="Arial" w:eastAsia="Arial" w:hAnsi="Arial"/>
                <w:b/>
                <w:bCs/>
                <w:color w:val="1A2B3C"/>
                <w:sz w:val="19"/>
                <w:szCs w:val="19"/>
              </w:rPr>
              <w:t xml:space="preserve">Cane Angel Network (UM)</w:t>
            </w:r>
          </w:p>
        </w:tc>
        <w:tc>
          <w:tcPr>
            <w:tcW w:type="dxa" w:w="744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left"/>
            </w:pPr>
            <w:r>
              <w:rPr>
                <w:rFonts w:ascii="Arial" w:cs="Arial" w:eastAsia="Arial" w:hAnsi="Arial"/>
                <w:b w:val="false"/>
                <w:bCs w:val="false"/>
                <w:color w:val="1A2B3C"/>
                <w:sz w:val="19"/>
                <w:szCs w:val="19"/>
              </w:rPr>
              <w:t xml:space="preserve">University of Miami. Biology + FHE + UM Health partnership potential makes this the most strategically aligned local network for the biopharma track.</w:t>
            </w:r>
          </w:p>
        </w:tc>
      </w:tr>
    </w:tbl>
    <w:p>
      <w:pPr>
        <w:spacing w:before="60" w:after="0"/>
      </w:pPr>
      <w:r>
        <w:t xml:space="preserve"/>
      </w:r>
    </w:p>
    <w:p>
      <w:pPr>
        <w:pStyle w:val="Heading2"/>
        <w:spacing w:before="280" w:after="100"/>
      </w:pPr>
      <w:r>
        <w:rPr>
          <w:rFonts w:ascii="Arial" w:cs="Arial" w:eastAsia="Arial" w:hAnsi="Arial"/>
          <w:b/>
          <w:bCs/>
          <w:color w:val="1A2B3C"/>
          <w:sz w:val="26"/>
          <w:szCs w:val="26"/>
        </w:rPr>
        <w:t xml:space="preserve">NVIDIA-Affiliated Angel Targets — FHE Adds Urgency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840"/>
      </w:tblGrid>
      <w:tr>
        <w:tc>
          <w:tcPr>
            <w:tcW w:type="dxa" w:w="240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Angel</w:t>
            </w:r>
          </w:p>
        </w:tc>
        <w:tc>
          <w:tcPr>
            <w:tcW w:type="dxa" w:w="160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Check</w:t>
            </w:r>
          </w:p>
        </w:tc>
        <w:tc>
          <w:tcPr>
            <w:tcW w:type="dxa" w:w="584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FHE Hook</w:t>
            </w:r>
          </w:p>
        </w:tc>
      </w:tr>
      <w:tr>
        <w:tc>
          <w:tcPr>
            <w:tcW w:type="dxa" w:w="2400"/>
            <w:tcBorders>
              <w:top w:val="single" w:color="CCDDDF" w:sz="1"/>
              <w:left w:val="single" w:color="CCDDDF" w:sz="1"/>
              <w:bottom w:val="single" w:color="CCDDDF" w:sz="1"/>
              <w:right w:val="single" w:color="CCDDDF" w:sz="1"/>
            </w:tcBorders>
            <w:shd w:fill="F3E5F5" w:val="clear"/>
            <w:tcMar>
              <w:top w:type="dxa" w:w="100"/>
              <w:left w:type="dxa" w:w="120"/>
              <w:bottom w:type="dxa" w:w="100"/>
              <w:right w:type="dxa" w:w="120"/>
            </w:tcMar>
          </w:tcPr>
          <w:p>
            <w:pPr>
              <w:jc w:val="left"/>
            </w:pPr>
            <w:r>
              <w:rPr>
                <w:rFonts w:ascii="Arial" w:cs="Arial" w:eastAsia="Arial" w:hAnsi="Arial"/>
                <w:b/>
                <w:bCs/>
                <w:color w:val="1A2B3C"/>
                <w:sz w:val="19"/>
                <w:szCs w:val="19"/>
              </w:rPr>
              <w:t xml:space="preserve">Jensen Huang (NVIDIA CEO)</w:t>
            </w:r>
          </w:p>
        </w:tc>
        <w:tc>
          <w:tcPr>
            <w:tcW w:type="dxa" w:w="160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center"/>
            </w:pPr>
            <w:r>
              <w:rPr>
                <w:rFonts w:ascii="Arial" w:cs="Arial" w:eastAsia="Arial" w:hAnsi="Arial"/>
                <w:b w:val="false"/>
                <w:bCs w:val="false"/>
                <w:color w:val="1A2B3C"/>
                <w:sz w:val="19"/>
                <w:szCs w:val="19"/>
              </w:rPr>
              <w:t xml:space="preserve">$100K–$1M</w:t>
            </w:r>
          </w:p>
        </w:tc>
        <w:tc>
          <w:tcPr>
            <w:tcW w:type="dxa" w:w="584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left"/>
            </w:pPr>
            <w:r>
              <w:rPr>
                <w:rFonts w:ascii="Arial" w:cs="Arial" w:eastAsia="Arial" w:hAnsi="Arial"/>
                <w:b w:val="false"/>
                <w:bCs w:val="false"/>
                <w:color w:val="1A2B3C"/>
                <w:sz w:val="19"/>
                <w:szCs w:val="19"/>
              </w:rPr>
              <w:t xml:space="preserve">AMAIMA runs GR00T, BioNeMo, Riva, Cosmos, NeMo — his own product stack — plus FHE built on Microsoft SEAL. The reference implementation of his platform, with encrypted inference his enterprise customers have been requesting.</w:t>
            </w:r>
          </w:p>
        </w:tc>
      </w:tr>
      <w:tr>
        <w:tc>
          <w:tcPr>
            <w:tcW w:type="dxa" w:w="24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bCs/>
                <w:color w:val="1A2B3C"/>
                <w:sz w:val="19"/>
                <w:szCs w:val="19"/>
              </w:rPr>
              <w:t xml:space="preserve">Jeff Herbst (NVentures Head)</w:t>
            </w:r>
          </w:p>
        </w:tc>
        <w:tc>
          <w:tcPr>
            <w:tcW w:type="dxa" w:w="16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center"/>
            </w:pPr>
            <w:r>
              <w:rPr>
                <w:rFonts w:ascii="Arial" w:cs="Arial" w:eastAsia="Arial" w:hAnsi="Arial"/>
                <w:b w:val="false"/>
                <w:bCs w:val="false"/>
                <w:color w:val="1A2B3C"/>
                <w:sz w:val="19"/>
                <w:szCs w:val="19"/>
              </w:rPr>
              <w:t xml:space="preserve">$50K–$200K</w:t>
            </w:r>
          </w:p>
        </w:tc>
        <w:tc>
          <w:tcPr>
            <w:tcW w:type="dxa" w:w="584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19"/>
                <w:szCs w:val="19"/>
              </w:rPr>
              <w:t xml:space="preserve">Personally invested in Skild AI ($14B robotics). AMAIMA has 4 robotics models + FHE-encrypted sensor coordination. Direct warm target for encrypted autonomous systems conversation.</w:t>
            </w:r>
          </w:p>
        </w:tc>
      </w:tr>
      <w:tr>
        <w:tc>
          <w:tcPr>
            <w:tcW w:type="dxa" w:w="2400"/>
            <w:tcBorders>
              <w:top w:val="single" w:color="CCDDDF" w:sz="1"/>
              <w:left w:val="single" w:color="CCDDDF" w:sz="1"/>
              <w:bottom w:val="single" w:color="CCDDDF" w:sz="1"/>
              <w:right w:val="single" w:color="CCDDDF" w:sz="1"/>
            </w:tcBorders>
            <w:shd w:fill="F3E5F5" w:val="clear"/>
            <w:tcMar>
              <w:top w:type="dxa" w:w="100"/>
              <w:left w:type="dxa" w:w="120"/>
              <w:bottom w:type="dxa" w:w="100"/>
              <w:right w:type="dxa" w:w="120"/>
            </w:tcMar>
          </w:tcPr>
          <w:p>
            <w:pPr>
              <w:jc w:val="left"/>
            </w:pPr>
            <w:r>
              <w:rPr>
                <w:rFonts w:ascii="Arial" w:cs="Arial" w:eastAsia="Arial" w:hAnsi="Arial"/>
                <w:b/>
                <w:bCs/>
                <w:color w:val="1A2B3C"/>
                <w:sz w:val="19"/>
                <w:szCs w:val="19"/>
              </w:rPr>
              <w:t xml:space="preserve">Colette Kress (NVIDIA CFO)</w:t>
            </w:r>
          </w:p>
        </w:tc>
        <w:tc>
          <w:tcPr>
            <w:tcW w:type="dxa" w:w="160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center"/>
            </w:pPr>
            <w:r>
              <w:rPr>
                <w:rFonts w:ascii="Arial" w:cs="Arial" w:eastAsia="Arial" w:hAnsi="Arial"/>
                <w:b w:val="false"/>
                <w:bCs w:val="false"/>
                <w:color w:val="1A2B3C"/>
                <w:sz w:val="19"/>
                <w:szCs w:val="19"/>
              </w:rPr>
              <w:t xml:space="preserve">$100K–$500K</w:t>
            </w:r>
          </w:p>
        </w:tc>
        <w:tc>
          <w:tcPr>
            <w:tcW w:type="dxa" w:w="584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left"/>
            </w:pPr>
            <w:r>
              <w:rPr>
                <w:rFonts w:ascii="Arial" w:cs="Arial" w:eastAsia="Arial" w:hAnsi="Arial"/>
                <w:b w:val="false"/>
                <w:bCs w:val="false"/>
                <w:color w:val="1A2B3C"/>
                <w:sz w:val="19"/>
                <w:szCs w:val="19"/>
              </w:rPr>
              <w:t xml:space="preserve">NVIDIA CFO overseeing NVentures. FHE adds enterprise compliance angle — the billing and monetization infrastructure she understands plus the security capability enterprises are demanding.</w:t>
            </w:r>
          </w:p>
        </w:tc>
      </w:tr>
    </w:tbl>
    <w:p>
      <w:pPr>
        <w:spacing w:before="80" w:after="0"/>
      </w:pPr>
      <w:r>
        <w:t xml:space="preserve"/>
      </w:r>
    </w:p>
    <w:p>
      <w:pPr>
        <w:pBdr>
          <w:bottom w:val="single" w:color="00838F" w:sz="6" w:space="1"/>
        </w:pBdr>
        <w:spacing w:before="200" w:after="200"/>
      </w:pPr>
      <w:r>
        <w:t xml:space="preserve"/>
      </w:r>
    </w:p>
    <w:p>
      <w:pPr>
        <w:pStyle w:val="Heading1"/>
        <w:spacing w:before="420" w:after="140"/>
      </w:pPr>
      <w:r>
        <w:rPr>
          <w:rFonts w:ascii="Arial" w:cs="Arial" w:eastAsia="Arial" w:hAnsi="Arial"/>
          <w:b/>
          <w:bCs/>
          <w:color w:val="00838F"/>
          <w:sz w:val="36"/>
          <w:szCs w:val="36"/>
        </w:rPr>
        <w:t xml:space="preserve">Execution Sequence — Updated for FHE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60"/>
        <w:gridCol w:w="2800"/>
        <w:gridCol w:w="2400"/>
        <w:gridCol w:w="1800"/>
        <w:gridCol w:w="2280"/>
      </w:tblGrid>
      <w:tr>
        <w:tc>
          <w:tcPr>
            <w:tcW w:type="dxa" w:w="56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w:t>
            </w:r>
          </w:p>
        </w:tc>
        <w:tc>
          <w:tcPr>
            <w:tcW w:type="dxa" w:w="280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Action</w:t>
            </w:r>
          </w:p>
        </w:tc>
        <w:tc>
          <w:tcPr>
            <w:tcW w:type="dxa" w:w="240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Unlocks</w:t>
            </w:r>
          </w:p>
        </w:tc>
        <w:tc>
          <w:tcPr>
            <w:tcW w:type="dxa" w:w="180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Val. Floor</w:t>
            </w:r>
          </w:p>
        </w:tc>
        <w:tc>
          <w:tcPr>
            <w:tcW w:type="dxa" w:w="228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Timeline</w:t>
            </w:r>
          </w:p>
        </w:tc>
      </w:tr>
      <w:tr>
        <w:tc>
          <w:tcPr>
            <w:tcW w:type="dxa" w:w="56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1A2B3C"/>
                <w:sz w:val="19"/>
                <w:szCs w:val="19"/>
              </w:rPr>
              <w:t xml:space="preserve">1</w:t>
            </w:r>
          </w:p>
        </w:tc>
        <w:tc>
          <w:tcPr>
            <w:tcW w:type="dxa" w:w="2800"/>
            <w:tcBorders>
              <w:top w:val="single" w:color="CCDDDF" w:sz="1"/>
              <w:left w:val="single" w:color="CCDDDF" w:sz="1"/>
              <w:bottom w:val="single" w:color="CCDDDF" w:sz="1"/>
              <w:right w:val="single" w:color="CCDDDF" w:sz="1"/>
            </w:tcBorders>
            <w:shd w:fill="E0F4F6" w:val="clear"/>
            <w:tcMar>
              <w:top w:type="dxa" w:w="100"/>
              <w:left w:type="dxa" w:w="120"/>
              <w:bottom w:type="dxa" w:w="100"/>
              <w:right w:type="dxa" w:w="120"/>
            </w:tcMar>
          </w:tcPr>
          <w:p>
            <w:pPr>
              <w:jc w:val="left"/>
            </w:pPr>
            <w:r>
              <w:rPr>
                <w:rFonts w:ascii="Arial" w:cs="Arial" w:eastAsia="Arial" w:hAnsi="Arial"/>
                <w:b w:val="false"/>
                <w:bCs w:val="false"/>
                <w:color w:val="1A2B3C"/>
                <w:sz w:val="19"/>
                <w:szCs w:val="19"/>
              </w:rPr>
              <w:t xml:space="preserve">Apply NVIDIA Inception</w:t>
            </w:r>
          </w:p>
        </w:tc>
        <w:tc>
          <w:tcPr>
            <w:tcW w:type="dxa" w:w="240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left"/>
            </w:pPr>
            <w:r>
              <w:rPr>
                <w:rFonts w:ascii="Arial" w:cs="Arial" w:eastAsia="Arial" w:hAnsi="Arial"/>
                <w:b w:val="false"/>
                <w:bCs w:val="false"/>
                <w:color w:val="1A2B3C"/>
                <w:sz w:val="19"/>
                <w:szCs w:val="19"/>
              </w:rPr>
              <w:t xml:space="preserve">$160K credits, NVentures path, GTC priority</w:t>
            </w:r>
          </w:p>
        </w:tc>
        <w:tc>
          <w:tcPr>
            <w:tcW w:type="dxa" w:w="1800"/>
            <w:tcBorders>
              <w:top w:val="single" w:color="CCDDDF" w:sz="1"/>
              <w:left w:val="single" w:color="CCDDDF" w:sz="1"/>
              <w:bottom w:val="single" w:color="CCDDDF" w:sz="1"/>
              <w:right w:val="single" w:color="CCDDDF" w:sz="1"/>
            </w:tcBorders>
            <w:shd w:fill="E8F5E9" w:val="clear"/>
            <w:tcMar>
              <w:top w:type="dxa" w:w="100"/>
              <w:left w:type="dxa" w:w="120"/>
              <w:bottom w:type="dxa" w:w="100"/>
              <w:right w:type="dxa" w:w="120"/>
            </w:tcMar>
          </w:tcPr>
          <w:p>
            <w:pPr>
              <w:jc w:val="center"/>
            </w:pPr>
            <w:r>
              <w:rPr>
                <w:rFonts w:ascii="Arial" w:cs="Arial" w:eastAsia="Arial" w:hAnsi="Arial"/>
                <w:b/>
                <w:bCs/>
                <w:color w:val="2E7D32"/>
                <w:sz w:val="19"/>
                <w:szCs w:val="19"/>
              </w:rPr>
              <w:t xml:space="preserve">$15B–$18B</w:t>
            </w:r>
          </w:p>
        </w:tc>
        <w:tc>
          <w:tcPr>
            <w:tcW w:type="dxa" w:w="2280"/>
            <w:tcBorders>
              <w:top w:val="single" w:color="CCDDDF" w:sz="1"/>
              <w:left w:val="single" w:color="CCDDDF" w:sz="1"/>
              <w:bottom w:val="single" w:color="CCDDDF" w:sz="1"/>
              <w:right w:val="single" w:color="CCDDDF" w:sz="1"/>
            </w:tcBorders>
            <w:shd w:fill="FFF8E1" w:val="clear"/>
            <w:tcMar>
              <w:top w:type="dxa" w:w="100"/>
              <w:left w:type="dxa" w:w="120"/>
              <w:bottom w:type="dxa" w:w="100"/>
              <w:right w:type="dxa" w:w="120"/>
            </w:tcMar>
          </w:tcPr>
          <w:p>
            <w:pPr>
              <w:jc w:val="center"/>
            </w:pPr>
            <w:r>
              <w:rPr>
                <w:rFonts w:ascii="Arial" w:cs="Arial" w:eastAsia="Arial" w:hAnsi="Arial"/>
                <w:b w:val="false"/>
                <w:bCs w:val="false"/>
                <w:color w:val="B8860B"/>
                <w:sz w:val="19"/>
                <w:szCs w:val="19"/>
              </w:rPr>
              <w:t xml:space="preserve">This week</w:t>
            </w:r>
          </w:p>
        </w:tc>
      </w:tr>
      <w:tr>
        <w:tc>
          <w:tcPr>
            <w:tcW w:type="dxa" w:w="56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1A2B3C"/>
                <w:sz w:val="19"/>
                <w:szCs w:val="19"/>
              </w:rPr>
              <w:t xml:space="preserve">2</w:t>
            </w:r>
          </w:p>
        </w:tc>
        <w:tc>
          <w:tcPr>
            <w:tcW w:type="dxa" w:w="28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19"/>
                <w:szCs w:val="19"/>
              </w:rPr>
              <w:t xml:space="preserve">Florida angel networks — Florida Funders + Miami Angels</w:t>
            </w:r>
          </w:p>
        </w:tc>
        <w:tc>
          <w:tcPr>
            <w:tcW w:type="dxa" w:w="24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19"/>
                <w:szCs w:val="19"/>
              </w:rPr>
              <w:t xml:space="preserve">First capital, local press, FHE privacy narrative launch</w:t>
            </w:r>
          </w:p>
        </w:tc>
        <w:tc>
          <w:tcPr>
            <w:tcW w:type="dxa" w:w="1800"/>
            <w:tcBorders>
              <w:top w:val="single" w:color="CCDDDF" w:sz="1"/>
              <w:left w:val="single" w:color="CCDDDF" w:sz="1"/>
              <w:bottom w:val="single" w:color="CCDDDF" w:sz="1"/>
              <w:right w:val="single" w:color="CCDDDF" w:sz="1"/>
            </w:tcBorders>
            <w:shd w:fill="E8F5E9" w:val="clear"/>
            <w:tcMar>
              <w:top w:type="dxa" w:w="100"/>
              <w:left w:type="dxa" w:w="120"/>
              <w:bottom w:type="dxa" w:w="100"/>
              <w:right w:type="dxa" w:w="120"/>
            </w:tcMar>
          </w:tcPr>
          <w:p>
            <w:pPr>
              <w:jc w:val="center"/>
            </w:pPr>
            <w:r>
              <w:rPr>
                <w:rFonts w:ascii="Arial" w:cs="Arial" w:eastAsia="Arial" w:hAnsi="Arial"/>
                <w:b/>
                <w:bCs/>
                <w:color w:val="2E7D32"/>
                <w:sz w:val="19"/>
                <w:szCs w:val="19"/>
              </w:rPr>
              <w:t xml:space="preserve">$15B–$18B</w:t>
            </w:r>
          </w:p>
        </w:tc>
        <w:tc>
          <w:tcPr>
            <w:tcW w:type="dxa" w:w="2280"/>
            <w:tcBorders>
              <w:top w:val="single" w:color="CCDDDF" w:sz="1"/>
              <w:left w:val="single" w:color="CCDDDF" w:sz="1"/>
              <w:bottom w:val="single" w:color="CCDDDF" w:sz="1"/>
              <w:right w:val="single" w:color="CCDDDF" w:sz="1"/>
            </w:tcBorders>
            <w:shd w:fill="FFF8E1" w:val="clear"/>
            <w:tcMar>
              <w:top w:type="dxa" w:w="100"/>
              <w:left w:type="dxa" w:w="120"/>
              <w:bottom w:type="dxa" w:w="100"/>
              <w:right w:type="dxa" w:w="120"/>
            </w:tcMar>
          </w:tcPr>
          <w:p>
            <w:pPr>
              <w:jc w:val="center"/>
            </w:pPr>
            <w:r>
              <w:rPr>
                <w:rFonts w:ascii="Arial" w:cs="Arial" w:eastAsia="Arial" w:hAnsi="Arial"/>
                <w:b w:val="false"/>
                <w:bCs w:val="false"/>
                <w:color w:val="B8860B"/>
                <w:sz w:val="19"/>
                <w:szCs w:val="19"/>
              </w:rPr>
              <w:t xml:space="preserve">4–8 weeks</w:t>
            </w:r>
          </w:p>
        </w:tc>
      </w:tr>
      <w:tr>
        <w:tc>
          <w:tcPr>
            <w:tcW w:type="dxa" w:w="56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1A2B3C"/>
                <w:sz w:val="19"/>
                <w:szCs w:val="19"/>
              </w:rPr>
              <w:t xml:space="preserve">3</w:t>
            </w:r>
          </w:p>
        </w:tc>
        <w:tc>
          <w:tcPr>
            <w:tcW w:type="dxa" w:w="2800"/>
            <w:tcBorders>
              <w:top w:val="single" w:color="CCDDDF" w:sz="1"/>
              <w:left w:val="single" w:color="CCDDDF" w:sz="1"/>
              <w:bottom w:val="single" w:color="CCDDDF" w:sz="1"/>
              <w:right w:val="single" w:color="CCDDDF" w:sz="1"/>
            </w:tcBorders>
            <w:shd w:fill="E0F4F6" w:val="clear"/>
            <w:tcMar>
              <w:top w:type="dxa" w:w="100"/>
              <w:left w:type="dxa" w:w="120"/>
              <w:bottom w:type="dxa" w:w="100"/>
              <w:right w:type="dxa" w:w="120"/>
            </w:tcMar>
          </w:tcPr>
          <w:p>
            <w:pPr>
              <w:jc w:val="left"/>
            </w:pPr>
            <w:r>
              <w:rPr>
                <w:rFonts w:ascii="Arial" w:cs="Arial" w:eastAsia="Arial" w:hAnsi="Arial"/>
                <w:b w:val="false"/>
                <w:bCs w:val="false"/>
                <w:color w:val="1A2B3C"/>
                <w:sz w:val="19"/>
                <w:szCs w:val="19"/>
              </w:rPr>
              <w:t xml:space="preserve">NVIDIA GTC — March 16–19</w:t>
            </w:r>
          </w:p>
        </w:tc>
        <w:tc>
          <w:tcPr>
            <w:tcW w:type="dxa" w:w="240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left"/>
            </w:pPr>
            <w:r>
              <w:rPr>
                <w:rFonts w:ascii="Arial" w:cs="Arial" w:eastAsia="Arial" w:hAnsi="Arial"/>
                <w:b w:val="false"/>
                <w:bCs w:val="false"/>
                <w:color w:val="1A2B3C"/>
                <w:sz w:val="19"/>
                <w:szCs w:val="19"/>
              </w:rPr>
              <w:t xml:space="preserve">NVentures + Jensen Huang + Microsoft Azure team + SoftBank</w:t>
            </w:r>
          </w:p>
        </w:tc>
        <w:tc>
          <w:tcPr>
            <w:tcW w:type="dxa" w:w="1800"/>
            <w:tcBorders>
              <w:top w:val="single" w:color="CCDDDF" w:sz="1"/>
              <w:left w:val="single" w:color="CCDDDF" w:sz="1"/>
              <w:bottom w:val="single" w:color="CCDDDF" w:sz="1"/>
              <w:right w:val="single" w:color="CCDDDF" w:sz="1"/>
            </w:tcBorders>
            <w:shd w:fill="E8F5E9" w:val="clear"/>
            <w:tcMar>
              <w:top w:type="dxa" w:w="100"/>
              <w:left w:type="dxa" w:w="120"/>
              <w:bottom w:type="dxa" w:w="100"/>
              <w:right w:type="dxa" w:w="120"/>
            </w:tcMar>
          </w:tcPr>
          <w:p>
            <w:pPr>
              <w:jc w:val="center"/>
            </w:pPr>
            <w:r>
              <w:rPr>
                <w:rFonts w:ascii="Arial" w:cs="Arial" w:eastAsia="Arial" w:hAnsi="Arial"/>
                <w:b/>
                <w:bCs/>
                <w:color w:val="2E7D32"/>
                <w:sz w:val="19"/>
                <w:szCs w:val="19"/>
              </w:rPr>
              <w:t xml:space="preserve">$18B–$22B</w:t>
            </w:r>
          </w:p>
        </w:tc>
        <w:tc>
          <w:tcPr>
            <w:tcW w:type="dxa" w:w="2280"/>
            <w:tcBorders>
              <w:top w:val="single" w:color="CCDDDF" w:sz="1"/>
              <w:left w:val="single" w:color="CCDDDF" w:sz="1"/>
              <w:bottom w:val="single" w:color="CCDDDF" w:sz="1"/>
              <w:right w:val="single" w:color="CCDDDF" w:sz="1"/>
            </w:tcBorders>
            <w:shd w:fill="FFF8E1" w:val="clear"/>
            <w:tcMar>
              <w:top w:type="dxa" w:w="100"/>
              <w:left w:type="dxa" w:w="120"/>
              <w:bottom w:type="dxa" w:w="100"/>
              <w:right w:type="dxa" w:w="120"/>
            </w:tcMar>
          </w:tcPr>
          <w:p>
            <w:pPr>
              <w:jc w:val="center"/>
            </w:pPr>
            <w:r>
              <w:rPr>
                <w:rFonts w:ascii="Arial" w:cs="Arial" w:eastAsia="Arial" w:hAnsi="Arial"/>
                <w:b w:val="false"/>
                <w:bCs w:val="false"/>
                <w:color w:val="B8860B"/>
                <w:sz w:val="19"/>
                <w:szCs w:val="19"/>
              </w:rPr>
              <w:t xml:space="preserve">March 16–19</w:t>
            </w:r>
          </w:p>
        </w:tc>
      </w:tr>
      <w:tr>
        <w:tc>
          <w:tcPr>
            <w:tcW w:type="dxa" w:w="56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1A2B3C"/>
                <w:sz w:val="19"/>
                <w:szCs w:val="19"/>
              </w:rPr>
              <w:t xml:space="preserve">4</w:t>
            </w:r>
          </w:p>
        </w:tc>
        <w:tc>
          <w:tcPr>
            <w:tcW w:type="dxa" w:w="28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19"/>
                <w:szCs w:val="19"/>
              </w:rPr>
              <w:t xml:space="preserve">Healthcare CISO outreach — FHE HIPAA pitch</w:t>
            </w:r>
          </w:p>
        </w:tc>
        <w:tc>
          <w:tcPr>
            <w:tcW w:type="dxa" w:w="24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19"/>
                <w:szCs w:val="19"/>
              </w:rPr>
              <w:t xml:space="preserve">First FHE-specific customer conversation, healthcare pilot</w:t>
            </w:r>
          </w:p>
        </w:tc>
        <w:tc>
          <w:tcPr>
            <w:tcW w:type="dxa" w:w="1800"/>
            <w:tcBorders>
              <w:top w:val="single" w:color="CCDDDF" w:sz="1"/>
              <w:left w:val="single" w:color="CCDDDF" w:sz="1"/>
              <w:bottom w:val="single" w:color="CCDDDF" w:sz="1"/>
              <w:right w:val="single" w:color="CCDDDF" w:sz="1"/>
            </w:tcBorders>
            <w:shd w:fill="E8F5E9" w:val="clear"/>
            <w:tcMar>
              <w:top w:type="dxa" w:w="100"/>
              <w:left w:type="dxa" w:w="120"/>
              <w:bottom w:type="dxa" w:w="100"/>
              <w:right w:type="dxa" w:w="120"/>
            </w:tcMar>
          </w:tcPr>
          <w:p>
            <w:pPr>
              <w:jc w:val="center"/>
            </w:pPr>
            <w:r>
              <w:rPr>
                <w:rFonts w:ascii="Arial" w:cs="Arial" w:eastAsia="Arial" w:hAnsi="Arial"/>
                <w:b/>
                <w:bCs/>
                <w:color w:val="2E7D32"/>
                <w:sz w:val="19"/>
                <w:szCs w:val="19"/>
              </w:rPr>
              <w:t xml:space="preserve">$18B–$22B</w:t>
            </w:r>
          </w:p>
        </w:tc>
        <w:tc>
          <w:tcPr>
            <w:tcW w:type="dxa" w:w="2280"/>
            <w:tcBorders>
              <w:top w:val="single" w:color="CCDDDF" w:sz="1"/>
              <w:left w:val="single" w:color="CCDDDF" w:sz="1"/>
              <w:bottom w:val="single" w:color="CCDDDF" w:sz="1"/>
              <w:right w:val="single" w:color="CCDDDF" w:sz="1"/>
            </w:tcBorders>
            <w:shd w:fill="FFF8E1" w:val="clear"/>
            <w:tcMar>
              <w:top w:type="dxa" w:w="100"/>
              <w:left w:type="dxa" w:w="120"/>
              <w:bottom w:type="dxa" w:w="100"/>
              <w:right w:type="dxa" w:w="120"/>
            </w:tcMar>
          </w:tcPr>
          <w:p>
            <w:pPr>
              <w:jc w:val="center"/>
            </w:pPr>
            <w:r>
              <w:rPr>
                <w:rFonts w:ascii="Arial" w:cs="Arial" w:eastAsia="Arial" w:hAnsi="Arial"/>
                <w:b w:val="false"/>
                <w:bCs w:val="false"/>
                <w:color w:val="B8860B"/>
                <w:sz w:val="19"/>
                <w:szCs w:val="19"/>
              </w:rPr>
              <w:t xml:space="preserve">Q1 2026</w:t>
            </w:r>
          </w:p>
        </w:tc>
      </w:tr>
      <w:tr>
        <w:tc>
          <w:tcPr>
            <w:tcW w:type="dxa" w:w="56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1A2B3C"/>
                <w:sz w:val="19"/>
                <w:szCs w:val="19"/>
              </w:rPr>
              <w:t xml:space="preserve">5</w:t>
            </w:r>
          </w:p>
        </w:tc>
        <w:tc>
          <w:tcPr>
            <w:tcW w:type="dxa" w:w="2800"/>
            <w:tcBorders>
              <w:top w:val="single" w:color="CCDDDF" w:sz="1"/>
              <w:left w:val="single" w:color="CCDDDF" w:sz="1"/>
              <w:bottom w:val="single" w:color="CCDDDF" w:sz="1"/>
              <w:right w:val="single" w:color="CCDDDF" w:sz="1"/>
            </w:tcBorders>
            <w:shd w:fill="E0F4F6" w:val="clear"/>
            <w:tcMar>
              <w:top w:type="dxa" w:w="100"/>
              <w:left w:type="dxa" w:w="120"/>
              <w:bottom w:type="dxa" w:w="100"/>
              <w:right w:type="dxa" w:w="120"/>
            </w:tcMar>
          </w:tcPr>
          <w:p>
            <w:pPr>
              <w:jc w:val="left"/>
            </w:pPr>
            <w:r>
              <w:rPr>
                <w:rFonts w:ascii="Arial" w:cs="Arial" w:eastAsia="Arial" w:hAnsi="Arial"/>
                <w:b w:val="false"/>
                <w:bCs w:val="false"/>
                <w:color w:val="1A2B3C"/>
                <w:sz w:val="19"/>
                <w:szCs w:val="19"/>
              </w:rPr>
              <w:t xml:space="preserve">Biopharma outreach — Encrypted Drug Discovery template</w:t>
            </w:r>
          </w:p>
        </w:tc>
        <w:tc>
          <w:tcPr>
            <w:tcW w:type="dxa" w:w="240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left"/>
            </w:pPr>
            <w:r>
              <w:rPr>
                <w:rFonts w:ascii="Arial" w:cs="Arial" w:eastAsia="Arial" w:hAnsi="Arial"/>
                <w:b w:val="false"/>
                <w:bCs w:val="false"/>
                <w:color w:val="1A2B3C"/>
                <w:sz w:val="19"/>
                <w:szCs w:val="19"/>
              </w:rPr>
              <w:t xml:space="preserve">First biopharma conversation with FHE unlock removing the data barrier</w:t>
            </w:r>
          </w:p>
        </w:tc>
        <w:tc>
          <w:tcPr>
            <w:tcW w:type="dxa" w:w="1800"/>
            <w:tcBorders>
              <w:top w:val="single" w:color="CCDDDF" w:sz="1"/>
              <w:left w:val="single" w:color="CCDDDF" w:sz="1"/>
              <w:bottom w:val="single" w:color="CCDDDF" w:sz="1"/>
              <w:right w:val="single" w:color="CCDDDF" w:sz="1"/>
            </w:tcBorders>
            <w:shd w:fill="E8F5E9" w:val="clear"/>
            <w:tcMar>
              <w:top w:type="dxa" w:w="100"/>
              <w:left w:type="dxa" w:w="120"/>
              <w:bottom w:type="dxa" w:w="100"/>
              <w:right w:type="dxa" w:w="120"/>
            </w:tcMar>
          </w:tcPr>
          <w:p>
            <w:pPr>
              <w:jc w:val="center"/>
            </w:pPr>
            <w:r>
              <w:rPr>
                <w:rFonts w:ascii="Arial" w:cs="Arial" w:eastAsia="Arial" w:hAnsi="Arial"/>
                <w:b/>
                <w:bCs/>
                <w:color w:val="2E7D32"/>
                <w:sz w:val="19"/>
                <w:szCs w:val="19"/>
              </w:rPr>
              <w:t xml:space="preserve">$20B–$25B</w:t>
            </w:r>
          </w:p>
        </w:tc>
        <w:tc>
          <w:tcPr>
            <w:tcW w:type="dxa" w:w="2280"/>
            <w:tcBorders>
              <w:top w:val="single" w:color="CCDDDF" w:sz="1"/>
              <w:left w:val="single" w:color="CCDDDF" w:sz="1"/>
              <w:bottom w:val="single" w:color="CCDDDF" w:sz="1"/>
              <w:right w:val="single" w:color="CCDDDF" w:sz="1"/>
            </w:tcBorders>
            <w:shd w:fill="FFF8E1" w:val="clear"/>
            <w:tcMar>
              <w:top w:type="dxa" w:w="100"/>
              <w:left w:type="dxa" w:w="120"/>
              <w:bottom w:type="dxa" w:w="100"/>
              <w:right w:type="dxa" w:w="120"/>
            </w:tcMar>
          </w:tcPr>
          <w:p>
            <w:pPr>
              <w:jc w:val="center"/>
            </w:pPr>
            <w:r>
              <w:rPr>
                <w:rFonts w:ascii="Arial" w:cs="Arial" w:eastAsia="Arial" w:hAnsi="Arial"/>
                <w:b w:val="false"/>
                <w:bCs w:val="false"/>
                <w:color w:val="B8860B"/>
                <w:sz w:val="19"/>
                <w:szCs w:val="19"/>
              </w:rPr>
              <w:t xml:space="preserve">Q1 2026</w:t>
            </w:r>
          </w:p>
        </w:tc>
      </w:tr>
      <w:tr>
        <w:tc>
          <w:tcPr>
            <w:tcW w:type="dxa" w:w="56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1A2B3C"/>
                <w:sz w:val="19"/>
                <w:szCs w:val="19"/>
              </w:rPr>
              <w:t xml:space="preserve">6</w:t>
            </w:r>
          </w:p>
        </w:tc>
        <w:tc>
          <w:tcPr>
            <w:tcW w:type="dxa" w:w="28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19"/>
                <w:szCs w:val="19"/>
              </w:rPr>
              <w:t xml:space="preserve">Submit DARPA TTO — Zero-Trust Autonomy framing</w:t>
            </w:r>
          </w:p>
        </w:tc>
        <w:tc>
          <w:tcPr>
            <w:tcW w:type="dxa" w:w="24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19"/>
                <w:szCs w:val="19"/>
              </w:rPr>
              <w:t xml:space="preserve">DoD validation, $500K–$5M non-dilutive, defense prime conversations</w:t>
            </w:r>
          </w:p>
        </w:tc>
        <w:tc>
          <w:tcPr>
            <w:tcW w:type="dxa" w:w="1800"/>
            <w:tcBorders>
              <w:top w:val="single" w:color="CCDDDF" w:sz="1"/>
              <w:left w:val="single" w:color="CCDDDF" w:sz="1"/>
              <w:bottom w:val="single" w:color="CCDDDF" w:sz="1"/>
              <w:right w:val="single" w:color="CCDDDF" w:sz="1"/>
            </w:tcBorders>
            <w:shd w:fill="E8F5E9" w:val="clear"/>
            <w:tcMar>
              <w:top w:type="dxa" w:w="100"/>
              <w:left w:type="dxa" w:w="120"/>
              <w:bottom w:type="dxa" w:w="100"/>
              <w:right w:type="dxa" w:w="120"/>
            </w:tcMar>
          </w:tcPr>
          <w:p>
            <w:pPr>
              <w:jc w:val="center"/>
            </w:pPr>
            <w:r>
              <w:rPr>
                <w:rFonts w:ascii="Arial" w:cs="Arial" w:eastAsia="Arial" w:hAnsi="Arial"/>
                <w:b/>
                <w:bCs/>
                <w:color w:val="2E7D32"/>
                <w:sz w:val="19"/>
                <w:szCs w:val="19"/>
              </w:rPr>
              <w:t xml:space="preserve">$22B–$28B</w:t>
            </w:r>
          </w:p>
        </w:tc>
        <w:tc>
          <w:tcPr>
            <w:tcW w:type="dxa" w:w="2280"/>
            <w:tcBorders>
              <w:top w:val="single" w:color="CCDDDF" w:sz="1"/>
              <w:left w:val="single" w:color="CCDDDF" w:sz="1"/>
              <w:bottom w:val="single" w:color="CCDDDF" w:sz="1"/>
              <w:right w:val="single" w:color="CCDDDF" w:sz="1"/>
            </w:tcBorders>
            <w:shd w:fill="FFF8E1" w:val="clear"/>
            <w:tcMar>
              <w:top w:type="dxa" w:w="100"/>
              <w:left w:type="dxa" w:w="120"/>
              <w:bottom w:type="dxa" w:w="100"/>
              <w:right w:type="dxa" w:w="120"/>
            </w:tcMar>
          </w:tcPr>
          <w:p>
            <w:pPr>
              <w:jc w:val="center"/>
            </w:pPr>
            <w:r>
              <w:rPr>
                <w:rFonts w:ascii="Arial" w:cs="Arial" w:eastAsia="Arial" w:hAnsi="Arial"/>
                <w:b w:val="false"/>
                <w:bCs w:val="false"/>
                <w:color w:val="B8860B"/>
                <w:sz w:val="19"/>
                <w:szCs w:val="19"/>
              </w:rPr>
              <w:t xml:space="preserve">April 17</w:t>
            </w:r>
          </w:p>
        </w:tc>
      </w:tr>
      <w:tr>
        <w:tc>
          <w:tcPr>
            <w:tcW w:type="dxa" w:w="56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1A2B3C"/>
                <w:sz w:val="19"/>
                <w:szCs w:val="19"/>
              </w:rPr>
              <w:t xml:space="preserve">7</w:t>
            </w:r>
          </w:p>
        </w:tc>
        <w:tc>
          <w:tcPr>
            <w:tcW w:type="dxa" w:w="2800"/>
            <w:tcBorders>
              <w:top w:val="single" w:color="CCDDDF" w:sz="1"/>
              <w:left w:val="single" w:color="CCDDDF" w:sz="1"/>
              <w:bottom w:val="single" w:color="CCDDDF" w:sz="1"/>
              <w:right w:val="single" w:color="CCDDDF" w:sz="1"/>
            </w:tcBorders>
            <w:shd w:fill="E0F4F6" w:val="clear"/>
            <w:tcMar>
              <w:top w:type="dxa" w:w="100"/>
              <w:left w:type="dxa" w:w="120"/>
              <w:bottom w:type="dxa" w:w="100"/>
              <w:right w:type="dxa" w:w="120"/>
            </w:tcMar>
          </w:tcPr>
          <w:p>
            <w:pPr>
              <w:jc w:val="left"/>
            </w:pPr>
            <w:r>
              <w:rPr>
                <w:rFonts w:ascii="Arial" w:cs="Arial" w:eastAsia="Arial" w:hAnsi="Arial"/>
                <w:b w:val="false"/>
                <w:bCs w:val="false"/>
                <w:color w:val="1A2B3C"/>
                <w:sz w:val="19"/>
                <w:szCs w:val="19"/>
              </w:rPr>
              <w:t xml:space="preserve">First paying customer — $299/mo Enterprise tier</w:t>
            </w:r>
          </w:p>
        </w:tc>
        <w:tc>
          <w:tcPr>
            <w:tcW w:type="dxa" w:w="240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left"/>
            </w:pPr>
            <w:r>
              <w:rPr>
                <w:rFonts w:ascii="Arial" w:cs="Arial" w:eastAsia="Arial" w:hAnsi="Arial"/>
                <w:b w:val="false"/>
                <w:bCs w:val="false"/>
                <w:color w:val="1A2B3C"/>
                <w:sz w:val="19"/>
                <w:szCs w:val="19"/>
              </w:rPr>
              <w:t xml:space="preserve">First revenue — activates ARR multiple method</w:t>
            </w:r>
          </w:p>
        </w:tc>
        <w:tc>
          <w:tcPr>
            <w:tcW w:type="dxa" w:w="1800"/>
            <w:tcBorders>
              <w:top w:val="single" w:color="CCDDDF" w:sz="1"/>
              <w:left w:val="single" w:color="CCDDDF" w:sz="1"/>
              <w:bottom w:val="single" w:color="CCDDDF" w:sz="1"/>
              <w:right w:val="single" w:color="CCDDDF" w:sz="1"/>
            </w:tcBorders>
            <w:shd w:fill="E8F5E9" w:val="clear"/>
            <w:tcMar>
              <w:top w:type="dxa" w:w="100"/>
              <w:left w:type="dxa" w:w="120"/>
              <w:bottom w:type="dxa" w:w="100"/>
              <w:right w:type="dxa" w:w="120"/>
            </w:tcMar>
          </w:tcPr>
          <w:p>
            <w:pPr>
              <w:jc w:val="center"/>
            </w:pPr>
            <w:r>
              <w:rPr>
                <w:rFonts w:ascii="Arial" w:cs="Arial" w:eastAsia="Arial" w:hAnsi="Arial"/>
                <w:b/>
                <w:bCs/>
                <w:color w:val="2E7D32"/>
                <w:sz w:val="19"/>
                <w:szCs w:val="19"/>
              </w:rPr>
              <w:t xml:space="preserve">$25B–$30B</w:t>
            </w:r>
          </w:p>
        </w:tc>
        <w:tc>
          <w:tcPr>
            <w:tcW w:type="dxa" w:w="2280"/>
            <w:tcBorders>
              <w:top w:val="single" w:color="CCDDDF" w:sz="1"/>
              <w:left w:val="single" w:color="CCDDDF" w:sz="1"/>
              <w:bottom w:val="single" w:color="CCDDDF" w:sz="1"/>
              <w:right w:val="single" w:color="CCDDDF" w:sz="1"/>
            </w:tcBorders>
            <w:shd w:fill="FFF8E1" w:val="clear"/>
            <w:tcMar>
              <w:top w:type="dxa" w:w="100"/>
              <w:left w:type="dxa" w:w="120"/>
              <w:bottom w:type="dxa" w:w="100"/>
              <w:right w:type="dxa" w:w="120"/>
            </w:tcMar>
          </w:tcPr>
          <w:p>
            <w:pPr>
              <w:jc w:val="center"/>
            </w:pPr>
            <w:r>
              <w:rPr>
                <w:rFonts w:ascii="Arial" w:cs="Arial" w:eastAsia="Arial" w:hAnsi="Arial"/>
                <w:b w:val="false"/>
                <w:bCs w:val="false"/>
                <w:color w:val="B8860B"/>
                <w:sz w:val="19"/>
                <w:szCs w:val="19"/>
              </w:rPr>
              <w:t xml:space="preserve">Q2 2026</w:t>
            </w:r>
          </w:p>
        </w:tc>
      </w:tr>
      <w:tr>
        <w:tc>
          <w:tcPr>
            <w:tcW w:type="dxa" w:w="56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1A2B3C"/>
                <w:sz w:val="19"/>
                <w:szCs w:val="19"/>
              </w:rPr>
              <w:t xml:space="preserve">8</w:t>
            </w:r>
          </w:p>
        </w:tc>
        <w:tc>
          <w:tcPr>
            <w:tcW w:type="dxa" w:w="28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19"/>
                <w:szCs w:val="19"/>
              </w:rPr>
              <w:t xml:space="preserve">Launch Republic Reg CF — FHE privacy narrative</w:t>
            </w:r>
          </w:p>
        </w:tc>
        <w:tc>
          <w:tcPr>
            <w:tcW w:type="dxa" w:w="24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19"/>
                <w:szCs w:val="19"/>
              </w:rPr>
              <w:t xml:space="preserve">PR event, community, forces VCs to compete. 'The AI platform that cannot read your data is now open to investors.'</w:t>
            </w:r>
          </w:p>
        </w:tc>
        <w:tc>
          <w:tcPr>
            <w:tcW w:type="dxa" w:w="1800"/>
            <w:tcBorders>
              <w:top w:val="single" w:color="CCDDDF" w:sz="1"/>
              <w:left w:val="single" w:color="CCDDDF" w:sz="1"/>
              <w:bottom w:val="single" w:color="CCDDDF" w:sz="1"/>
              <w:right w:val="single" w:color="CCDDDF" w:sz="1"/>
            </w:tcBorders>
            <w:shd w:fill="E8F5E9" w:val="clear"/>
            <w:tcMar>
              <w:top w:type="dxa" w:w="100"/>
              <w:left w:type="dxa" w:w="120"/>
              <w:bottom w:type="dxa" w:w="100"/>
              <w:right w:type="dxa" w:w="120"/>
            </w:tcMar>
          </w:tcPr>
          <w:p>
            <w:pPr>
              <w:jc w:val="center"/>
            </w:pPr>
            <w:r>
              <w:rPr>
                <w:rFonts w:ascii="Arial" w:cs="Arial" w:eastAsia="Arial" w:hAnsi="Arial"/>
                <w:b/>
                <w:bCs/>
                <w:color w:val="2E7D32"/>
                <w:sz w:val="19"/>
                <w:szCs w:val="19"/>
              </w:rPr>
              <w:t xml:space="preserve">$25B–$30B</w:t>
            </w:r>
          </w:p>
        </w:tc>
        <w:tc>
          <w:tcPr>
            <w:tcW w:type="dxa" w:w="2280"/>
            <w:tcBorders>
              <w:top w:val="single" w:color="CCDDDF" w:sz="1"/>
              <w:left w:val="single" w:color="CCDDDF" w:sz="1"/>
              <w:bottom w:val="single" w:color="CCDDDF" w:sz="1"/>
              <w:right w:val="single" w:color="CCDDDF" w:sz="1"/>
            </w:tcBorders>
            <w:shd w:fill="FFF8E1" w:val="clear"/>
            <w:tcMar>
              <w:top w:type="dxa" w:w="100"/>
              <w:left w:type="dxa" w:w="120"/>
              <w:bottom w:type="dxa" w:w="100"/>
              <w:right w:type="dxa" w:w="120"/>
            </w:tcMar>
          </w:tcPr>
          <w:p>
            <w:pPr>
              <w:jc w:val="center"/>
            </w:pPr>
            <w:r>
              <w:rPr>
                <w:rFonts w:ascii="Arial" w:cs="Arial" w:eastAsia="Arial" w:hAnsi="Arial"/>
                <w:b w:val="false"/>
                <w:bCs w:val="false"/>
                <w:color w:val="B8860B"/>
                <w:sz w:val="19"/>
                <w:szCs w:val="19"/>
              </w:rPr>
              <w:t xml:space="preserve">After Step 7</w:t>
            </w:r>
          </w:p>
        </w:tc>
      </w:tr>
      <w:tr>
        <w:tc>
          <w:tcPr>
            <w:tcW w:type="dxa" w:w="56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1A2B3C"/>
                <w:sz w:val="19"/>
                <w:szCs w:val="19"/>
              </w:rPr>
              <w:t xml:space="preserve">9</w:t>
            </w:r>
          </w:p>
        </w:tc>
        <w:tc>
          <w:tcPr>
            <w:tcW w:type="dxa" w:w="2800"/>
            <w:tcBorders>
              <w:top w:val="single" w:color="CCDDDF" w:sz="1"/>
              <w:left w:val="single" w:color="CCDDDF" w:sz="1"/>
              <w:bottom w:val="single" w:color="CCDDDF" w:sz="1"/>
              <w:right w:val="single" w:color="CCDDDF" w:sz="1"/>
            </w:tcBorders>
            <w:shd w:fill="E0F4F6" w:val="clear"/>
            <w:tcMar>
              <w:top w:type="dxa" w:w="100"/>
              <w:left w:type="dxa" w:w="120"/>
              <w:bottom w:type="dxa" w:w="100"/>
              <w:right w:type="dxa" w:w="120"/>
            </w:tcMar>
          </w:tcPr>
          <w:p>
            <w:pPr>
              <w:jc w:val="left"/>
            </w:pPr>
            <w:r>
              <w:rPr>
                <w:rFonts w:ascii="Arial" w:cs="Arial" w:eastAsia="Arial" w:hAnsi="Arial"/>
                <w:b w:val="false"/>
                <w:bCs w:val="false"/>
                <w:color w:val="1A2B3C"/>
                <w:sz w:val="19"/>
                <w:szCs w:val="19"/>
              </w:rPr>
              <w:t xml:space="preserve">Submit DARPA BTO — Encrypted Biodefense</w:t>
            </w:r>
          </w:p>
        </w:tc>
        <w:tc>
          <w:tcPr>
            <w:tcW w:type="dxa" w:w="240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left"/>
            </w:pPr>
            <w:r>
              <w:rPr>
                <w:rFonts w:ascii="Arial" w:cs="Arial" w:eastAsia="Arial" w:hAnsi="Arial"/>
                <w:b w:val="false"/>
                <w:bCs w:val="false"/>
                <w:color w:val="1A2B3C"/>
                <w:sz w:val="19"/>
                <w:szCs w:val="19"/>
              </w:rPr>
              <w:t xml:space="preserve">Biology + national security validation, $2M–$5M non-dilutive</w:t>
            </w:r>
          </w:p>
        </w:tc>
        <w:tc>
          <w:tcPr>
            <w:tcW w:type="dxa" w:w="1800"/>
            <w:tcBorders>
              <w:top w:val="single" w:color="CCDDDF" w:sz="1"/>
              <w:left w:val="single" w:color="CCDDDF" w:sz="1"/>
              <w:bottom w:val="single" w:color="CCDDDF" w:sz="1"/>
              <w:right w:val="single" w:color="CCDDDF" w:sz="1"/>
            </w:tcBorders>
            <w:shd w:fill="E8F5E9" w:val="clear"/>
            <w:tcMar>
              <w:top w:type="dxa" w:w="100"/>
              <w:left w:type="dxa" w:w="120"/>
              <w:bottom w:type="dxa" w:w="100"/>
              <w:right w:type="dxa" w:w="120"/>
            </w:tcMar>
          </w:tcPr>
          <w:p>
            <w:pPr>
              <w:jc w:val="center"/>
            </w:pPr>
            <w:r>
              <w:rPr>
                <w:rFonts w:ascii="Arial" w:cs="Arial" w:eastAsia="Arial" w:hAnsi="Arial"/>
                <w:b/>
                <w:bCs/>
                <w:color w:val="2E7D32"/>
                <w:sz w:val="19"/>
                <w:szCs w:val="19"/>
              </w:rPr>
              <w:t xml:space="preserve">$28B–$35B</w:t>
            </w:r>
          </w:p>
        </w:tc>
        <w:tc>
          <w:tcPr>
            <w:tcW w:type="dxa" w:w="2280"/>
            <w:tcBorders>
              <w:top w:val="single" w:color="CCDDDF" w:sz="1"/>
              <w:left w:val="single" w:color="CCDDDF" w:sz="1"/>
              <w:bottom w:val="single" w:color="CCDDDF" w:sz="1"/>
              <w:right w:val="single" w:color="CCDDDF" w:sz="1"/>
            </w:tcBorders>
            <w:shd w:fill="FFF8E1" w:val="clear"/>
            <w:tcMar>
              <w:top w:type="dxa" w:w="100"/>
              <w:left w:type="dxa" w:w="120"/>
              <w:bottom w:type="dxa" w:w="100"/>
              <w:right w:type="dxa" w:w="120"/>
            </w:tcMar>
          </w:tcPr>
          <w:p>
            <w:pPr>
              <w:jc w:val="center"/>
            </w:pPr>
            <w:r>
              <w:rPr>
                <w:rFonts w:ascii="Arial" w:cs="Arial" w:eastAsia="Arial" w:hAnsi="Arial"/>
                <w:b w:val="false"/>
                <w:bCs w:val="false"/>
                <w:color w:val="B8860B"/>
                <w:sz w:val="19"/>
                <w:szCs w:val="19"/>
              </w:rPr>
              <w:t xml:space="preserve">Sept 30</w:t>
            </w:r>
          </w:p>
        </w:tc>
      </w:tr>
      <w:tr>
        <w:tc>
          <w:tcPr>
            <w:tcW w:type="dxa" w:w="56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1A2B3C"/>
                <w:sz w:val="19"/>
                <w:szCs w:val="19"/>
              </w:rPr>
              <w:t xml:space="preserve">10</w:t>
            </w:r>
          </w:p>
        </w:tc>
        <w:tc>
          <w:tcPr>
            <w:tcW w:type="dxa" w:w="28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19"/>
                <w:szCs w:val="19"/>
              </w:rPr>
              <w:t xml:space="preserve">Institutional Seed / Series A — from position of strength</w:t>
            </w:r>
          </w:p>
        </w:tc>
        <w:tc>
          <w:tcPr>
            <w:tcW w:type="dxa" w:w="24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19"/>
                <w:szCs w:val="19"/>
              </w:rPr>
              <w:t xml:space="preserve">Multiple competing term sheets: NVIDIA, Microsoft, healthcare AI VCs, defense-focused funds</w:t>
            </w:r>
          </w:p>
        </w:tc>
        <w:tc>
          <w:tcPr>
            <w:tcW w:type="dxa" w:w="1800"/>
            <w:tcBorders>
              <w:top w:val="single" w:color="CCDDDF" w:sz="1"/>
              <w:left w:val="single" w:color="CCDDDF" w:sz="1"/>
              <w:bottom w:val="single" w:color="CCDDDF" w:sz="1"/>
              <w:right w:val="single" w:color="CCDDDF" w:sz="1"/>
            </w:tcBorders>
            <w:shd w:fill="E8F5E9" w:val="clear"/>
            <w:tcMar>
              <w:top w:type="dxa" w:w="100"/>
              <w:left w:type="dxa" w:w="120"/>
              <w:bottom w:type="dxa" w:w="100"/>
              <w:right w:type="dxa" w:w="120"/>
            </w:tcMar>
          </w:tcPr>
          <w:p>
            <w:pPr>
              <w:jc w:val="center"/>
            </w:pPr>
            <w:r>
              <w:rPr>
                <w:rFonts w:ascii="Arial" w:cs="Arial" w:eastAsia="Arial" w:hAnsi="Arial"/>
                <w:b/>
                <w:bCs/>
                <w:color w:val="2E7D32"/>
                <w:sz w:val="19"/>
                <w:szCs w:val="19"/>
              </w:rPr>
              <w:t xml:space="preserve">$30B–$55B+</w:t>
            </w:r>
          </w:p>
        </w:tc>
        <w:tc>
          <w:tcPr>
            <w:tcW w:type="dxa" w:w="2280"/>
            <w:tcBorders>
              <w:top w:val="single" w:color="CCDDDF" w:sz="1"/>
              <w:left w:val="single" w:color="CCDDDF" w:sz="1"/>
              <w:bottom w:val="single" w:color="CCDDDF" w:sz="1"/>
              <w:right w:val="single" w:color="CCDDDF" w:sz="1"/>
            </w:tcBorders>
            <w:shd w:fill="FFF8E1" w:val="clear"/>
            <w:tcMar>
              <w:top w:type="dxa" w:w="100"/>
              <w:left w:type="dxa" w:w="120"/>
              <w:bottom w:type="dxa" w:w="100"/>
              <w:right w:type="dxa" w:w="120"/>
            </w:tcMar>
          </w:tcPr>
          <w:p>
            <w:pPr>
              <w:jc w:val="center"/>
            </w:pPr>
            <w:r>
              <w:rPr>
                <w:rFonts w:ascii="Arial" w:cs="Arial" w:eastAsia="Arial" w:hAnsi="Arial"/>
                <w:b w:val="false"/>
                <w:bCs w:val="false"/>
                <w:color w:val="B8860B"/>
                <w:sz w:val="19"/>
                <w:szCs w:val="19"/>
              </w:rPr>
              <w:t xml:space="preserve">Q3 2026</w:t>
            </w:r>
          </w:p>
        </w:tc>
      </w:tr>
    </w:tbl>
    <w:p>
      <w:pPr>
        <w:spacing w:before="80" w:after="0"/>
      </w:pPr>
      <w:r>
        <w:t xml:space="preserve"/>
      </w:r>
    </w:p>
    <w:p>
      <w:pPr>
        <w:pBdr>
          <w:bottom w:val="single" w:color="00838F" w:sz="6" w:space="1"/>
        </w:pBdr>
        <w:spacing w:before="200" w:after="200"/>
      </w:pPr>
      <w:r>
        <w:t xml:space="preserve"/>
      </w:r>
    </w:p>
    <w:p>
      <w:pPr>
        <w:pStyle w:val="Heading1"/>
        <w:spacing w:before="420" w:after="140"/>
      </w:pPr>
      <w:r>
        <w:rPr>
          <w:rFonts w:ascii="Arial" w:cs="Arial" w:eastAsia="Arial" w:hAnsi="Arial"/>
          <w:b/>
          <w:bCs/>
          <w:color w:val="00838F"/>
          <w:sz w:val="36"/>
          <w:szCs w:val="36"/>
        </w:rPr>
        <w:t xml:space="preserve">Summary</w:t>
      </w:r>
    </w:p>
    <w:p>
      <w:pPr>
        <w:spacing w:before="55" w:after="55"/>
      </w:pPr>
      <w:r>
        <w:rPr>
          <w:rFonts w:ascii="Arial" w:cs="Arial" w:eastAsia="Arial" w:hAnsi="Arial"/>
          <w:color w:val="1A2B3C"/>
          <w:sz w:val="22"/>
          <w:szCs w:val="22"/>
        </w:rPr>
        <w:t xml:space="preserve">AMAIMA is now a category of one. There is no other production-deployed, multimodal, FHE-integrated AI platform. The market has funded single-domain companies at $11B–$14B. The market has funded companies with no live product at $4B–$12B. AMAIMA has seven domains, FHE, and 90 days of live production history.</w:t>
      </w:r>
    </w:p>
    <w:p>
      <w:pPr>
        <w:spacing w:before="50" w:after="0"/>
      </w:pPr>
      <w:r>
        <w:t xml:space="preserve"/>
      </w:r>
    </w:p>
    <w:p>
      <w:pPr>
        <w:spacing w:before="55" w:after="55"/>
      </w:pPr>
      <w:r>
        <w:rPr>
          <w:rFonts w:ascii="Arial" w:cs="Arial" w:eastAsia="Arial" w:hAnsi="Arial"/>
          <w:color w:val="1A2B3C"/>
          <w:sz w:val="22"/>
          <w:szCs w:val="22"/>
        </w:rPr>
        <w:t xml:space="preserve">Three independent AI systems agreed. Microsoft Copilot — trained on Microsoft's own codebase — reviewed the FHE dashboard and agent builder and said it was the most complete AI platform seen from a single builder. Microsoft built SEAL. Their AI validated the application.</w:t>
      </w:r>
    </w:p>
    <w:p>
      <w:pPr>
        <w:spacing w:before="50" w:after="0"/>
      </w:pPr>
      <w:r>
        <w:t xml:space="preserve"/>
      </w:r>
    </w:p>
    <w:p>
      <w:pPr>
        <w:spacing w:before="55" w:after="55"/>
      </w:pPr>
      <w:r>
        <w:rPr>
          <w:rFonts w:ascii="Arial" w:cs="Arial" w:eastAsia="Arial" w:hAnsi="Arial"/>
          <w:b/>
          <w:bCs/>
          <w:color w:val="1A2B3C"/>
          <w:sz w:val="22"/>
          <w:szCs w:val="22"/>
        </w:rPr>
        <w:t xml:space="preserve">The path to $30B+ does not require building anything new. It requires three actions: Apply Inception this week. Attend GTC in 25 days. Send one FHE-specific email to one healthcare CISO.</w:t>
      </w:r>
    </w:p>
    <w:p>
      <w:pPr>
        <w:spacing w:before="80" w:after="0"/>
      </w:pPr>
      <w:r>
        <w:t xml:space="preserve"/>
      </w:r>
    </w:p>
    <w:p>
      <w:pPr>
        <w:pBdr>
          <w:bottom w:val="single" w:color="00838F" w:sz="6" w:space="1"/>
        </w:pBdr>
        <w:spacing w:before="200" w:after="200"/>
      </w:pPr>
      <w:r>
        <w:t xml:space="preserve"/>
      </w:r>
    </w:p>
    <w:p>
      <w:pPr>
        <w:spacing w:before="70" w:after="70"/>
        <w:jc w:val="center"/>
      </w:pPr>
      <w:r>
        <w:rPr>
          <w:rFonts w:ascii="Arial" w:cs="Arial" w:eastAsia="Arial" w:hAnsi="Arial"/>
          <w:b/>
          <w:bCs/>
          <w:color w:val="00838F"/>
          <w:sz w:val="24"/>
          <w:szCs w:val="24"/>
        </w:rPr>
        <w:t xml:space="preserve">AMAIMA — Multimodal · Agentic · Privacy-Preserving · Post-Quantum Secure</w:t>
      </w:r>
    </w:p>
    <w:p>
      <w:pPr>
        <w:spacing w:before="0" w:after="8"/>
        <w:jc w:val="center"/>
      </w:pPr>
      <w:r>
        <w:rPr>
          <w:rFonts w:ascii="Arial" w:cs="Arial" w:eastAsia="Arial" w:hAnsi="Arial"/>
          <w:color w:val="888888"/>
          <w:sz w:val="19"/>
          <w:szCs w:val="19"/>
        </w:rPr>
        <w:t xml:space="preserve">Speech · Robotics · Biology · Vision · Embeddings · General LLMs · FHE — 26 NVIDIA Models</w:t>
      </w:r>
    </w:p>
    <w:p>
      <w:pPr>
        <w:spacing w:before="0" w:after="0"/>
        <w:jc w:val="center"/>
      </w:pPr>
      <w:r>
        <w:rPr>
          <w:rFonts w:ascii="Arial" w:cs="Arial" w:eastAsia="Arial" w:hAnsi="Arial"/>
          <w:color w:val="00838F"/>
          <w:sz w:val="19"/>
          <w:szCs w:val="19"/>
        </w:rPr>
        <w:t xml:space="preserve">amaima.live  |  amaima.live/fhe  |  github.com/CreoDAMO/AMAIMA  |  Live: February 2026</w:t>
      </w:r>
    </w:p>
    <w:sectPr>
      <w:footerReference w:type="default" r:id="rId6"/>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AMAIMA — Go-To-Market Targeting Strategy v5  |  Confidential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B3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20" w:after="140"/>
      <w:outlineLvl w:val="0"/>
    </w:pPr>
    <w:rPr>
      <w:rFonts w:ascii="Arial" w:cs="Arial" w:eastAsia="Arial" w:hAnsi="Arial"/>
      <w:b/>
      <w:bCs/>
      <w:color w:val="00838F"/>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A2B3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2026-02-21T05:57:41.205Z</dcterms:created>
  <dcterms:modified xsi:type="dcterms:W3CDTF">2026-02-21T05:57:41.206Z</dcterms:modified>
</cp:coreProperties>
</file>

<file path=docProps/custom.xml><?xml version="1.0" encoding="utf-8"?>
<Properties xmlns="http://schemas.openxmlformats.org/officeDocument/2006/custom-properties" xmlns:vt="http://schemas.openxmlformats.org/officeDocument/2006/docPropsVTypes"/>
</file>