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格物智研报告补充说明与勘误</w:t>
      </w:r>
    </w:p>
    <w:p>
      <w:r>
        <w:rPr>
          <w:color w:val="000000"/>
          <w:sz w:val="20"/>
        </w:rPr>
        <w:t>版本 0.1.0，2026年10月15日。配套原《格物智研 技术报告 XH202619 v2》使用。</w:t>
      </w:r>
    </w:p>
    <w:p>
      <w:r>
        <w:rPr>
          <w:color w:val="000000"/>
        </w:rPr>
        <w:t>本说明澄清原报告中的证据范围，并补充后续自查。原报告保存为历史版本；涉及下述事项时，以本说明为准。当前作品展示科研任务规划、仿真执行和反馈记录的可检查性；尚未证明科研效果稳定提高。</w:t>
      </w:r>
    </w:p>
    <w:p>
      <w:pPr>
        <w:pStyle w:val="Heading1"/>
      </w:pPr>
      <w:r>
        <w:t>原报告应更正的表述</w:t>
      </w:r>
    </w:p>
    <w:p>
      <w:r>
        <w:rPr>
          <w:color w:val="000000"/>
        </w:rPr>
      </w:r>
      <w:r>
        <w:rPr>
          <w:b/>
          <w:color w:val="000000"/>
        </w:rPr>
        <w:t>程序检查与科学正确性。</w:t>
      </w:r>
      <w:r>
        <w:rPr>
          <w:color w:val="000000"/>
        </w:rPr>
        <w:t xml:space="preserve"> 原报告P1、P3、P6使用“运行时结构强制”“科学逻辑可信”等措辞。应改为：程序可核查执行前登记、记录引用及部分状态约束，但不能独立证明机制解释正确、候选覆盖充分或实验选择最优。十月历史案例中，程序检查通过仍伴随错误机制结论。</w:t>
      </w:r>
    </w:p>
    <w:p>
      <w:r>
        <w:rPr>
          <w:color w:val="000000"/>
        </w:rPr>
      </w:r>
      <w:r>
        <w:rPr>
          <w:b/>
          <w:color w:val="000000"/>
        </w:rPr>
        <w:t>旧两轮案例的测量证据。</w:t>
      </w:r>
      <w:r>
        <w:rPr>
          <w:color w:val="000000"/>
        </w:rPr>
        <w:t xml:space="preserve"> 原报告P3、P13–P17以demo2r作为主要闭环案例。归档中至少有一项预登记命令直接输出常数：第二轮P1输出40.0。该项不能作为独立仿真测量或机制支持的证据。旧案例保留为系统缺陷与审计材料，不作为可靠科学发现的成功案例。</w:t>
      </w:r>
    </w:p>
    <w:p>
      <w:r>
        <w:rPr>
          <w:color w:val="000000"/>
        </w:rPr>
      </w:r>
      <w:r>
        <w:rPr>
          <w:b/>
          <w:color w:val="000000"/>
        </w:rPr>
        <w:t>两轮数字不可直接比较。</w:t>
      </w:r>
      <w:r>
        <w:rPr>
          <w:color w:val="000000"/>
        </w:rPr>
        <w:t xml:space="preserve"> 原报告记录demo2r第二轮更换seed 0至1。因此两轮误差、预算或通过率的变化不能单独归因于反馈策略；不同模型、代码版本与预算的比较也不能作为重构收益的因果证明。</w:t>
      </w:r>
    </w:p>
    <w:p>
      <w:r>
        <w:rPr>
          <w:color w:val="000000"/>
        </w:rPr>
      </w:r>
      <w:r>
        <w:rPr>
          <w:b/>
          <w:color w:val="000000"/>
        </w:rPr>
        <w:t>模型与版本。</w:t>
      </w:r>
      <w:r>
        <w:rPr>
          <w:color w:val="000000"/>
        </w:rPr>
        <w:t xml:space="preserve"> 八月Qwen运行及调用凭证属于历史证据。十月演示归档使用GLM 5.3 Flash；重构后的Qwen端到端验证尚未确认。不得把旧Qwen材料、新界面与十月GLM结果合并成一条新版Qwen成功链。原报告P7的用量数字没有在本次勘误中重新审定。</w:t>
      </w:r>
    </w:p>
    <w:p>
      <w:r>
        <w:rPr>
          <w:color w:val="000000"/>
        </w:rPr>
      </w:r>
      <w:r>
        <w:rPr>
          <w:b/>
          <w:color w:val="000000"/>
        </w:rPr>
        <w:t>执行环境与人工介入。</w:t>
      </w:r>
      <w:r>
        <w:rPr>
          <w:color w:val="000000"/>
        </w:rPr>
        <w:t xml:space="preserve"> 展示案例全部来自神经元仿真环境，不是真实细胞实验。只读回放不是现场重新执行；真实研究的暂停、询问、改方向需另做完整控制验收。回放暂停通过不能代替研究暂停验收。</w:t>
      </w:r>
    </w:p>
    <w:p>
      <w:r>
        <w:rPr>
          <w:color w:val="000000"/>
        </w:rPr>
      </w:r>
      <w:r>
        <w:rPr>
          <w:b/>
          <w:color w:val="000000"/>
        </w:rPr>
        <w:t>收益与扩展。</w:t>
      </w:r>
      <w:r>
        <w:rPr>
          <w:color w:val="000000"/>
        </w:rPr>
        <w:t xml:space="preserve"> 当前没有可引用的同条件科研收益、跨任务泛化、多模态模型处理或自进化收益证据。并行中的新benchmark在完成审查前不计入结论。功能存在、测试通过与科研效果分别报告。</w:t>
      </w:r>
    </w:p>
    <w:p>
      <w:r>
        <w:br w:type="page"/>
      </w:r>
    </w:p>
    <w:p>
      <w:pPr>
        <w:pStyle w:val="Heading1"/>
      </w:pPr>
      <w:r>
        <w:t>本次会议展示的证据范围</w:t>
      </w:r>
    </w:p>
    <w:p>
      <w:r>
        <w:rPr>
          <w:color w:val="000000"/>
        </w:rPr>
        <w:t>采用2026年10月14日GLM一句话历史归档，说明计划、观测和判断如何分开追溯。P1观测17.3333后记录H1收窄；P2改用40ms条件，第63行登记，第66行落地读数13，第67–68行记录H5被否定、H3得到支持。后续P3、P4均有执行记录。</w:t>
      </w:r>
    </w:p>
    <w:p>
      <w:r>
        <w:rPr>
          <w:color w:val="000000"/>
        </w:rPr>
        <w:t>这些状态是Agent当时的判断。最终机制结论错误，事后D6审计指出有限观测被扩大为家族级否定。该案例证明的是过程可复查及失败可定位；不证明系统比基线更准确。两轮之间的具体原因须看原始记录，不仅凭时间先后推断。</w:t>
      </w:r>
    </w:p>
    <w:p>
      <w:r>
        <w:rPr>
          <w:color w:val="000000"/>
        </w:rPr>
        <w:t>研究共4个探针、使用6/8个计费观测单位；观测单位不是API费用。模型成本、token用量和实验预算不能混称为同一个指标。</w:t>
      </w:r>
    </w:p>
    <w:p>
      <w:r>
        <w:rPr>
          <w:color w:val="000000"/>
        </w:rPr>
      </w:r>
      <w:r>
        <w:rPr>
          <w:b/>
          <w:color w:val="000000"/>
        </w:rPr>
        <w:t>原始输出归档缺件。</w:t>
      </w:r>
      <w:r>
        <w:rPr>
          <w:color w:val="000000"/>
        </w:rPr>
        <w:t xml:space="preserve"> 本次直接核验发现，上述主案例未包含P1–P4的 probes/P*/raw/output.txt。预登记与溯源检查可通过，数字对账检查因缺少P1原始输出而无法完成。页面可以回放日志读数和审计意见，不能据此声称已从原始输出完整复算；须找回同一次运行的原文件，不能从日志数字重建替代品。</w:t>
      </w:r>
    </w:p>
    <w:p>
      <w:pPr>
        <w:pStyle w:val="Heading1"/>
      </w:pPr>
      <w:r>
        <w:t>核验入口</w:t>
      </w:r>
    </w:p>
    <w:p>
      <w:r>
        <w:rPr>
          <w:color w:val="000000"/>
        </w:rPr>
        <w:t>主归档：research/campaigns/2026-10-14-glm53flash-oneline-ca_rebound/。核心文件：journal.jsonl、prereg/P1.json、prereg/P2.json、annotations.json。报告审计页：deploy/defense/index.html#D6。旧常数探针：research/campaigns/demo2r-2026-08-28-ca/round2/run/prereg/P1.json。</w:t>
      </w:r>
    </w:p>
    <w:p>
      <w:r>
        <w:rPr>
          <w:color w:val="000000"/>
        </w:rPr>
        <w:t>原报告v2文件sha256：39db00e1713403a05e1eebdec1ed7e0c1d6b6d387d52a930ee760414219613c1。这只标识被勘误的原文件，不表示其所有结论已被复核。详细书签与证据边界见同目录 MEETING-EVIDENCE-INDEX.md。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格物智研报告补充说明与勘误</dc:title>
  <dc:subject>会议答辩配套补充说明</dc:subject>
  <dc:creator>格物智研团队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