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/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42"/>
          <w:szCs w:val="42"/>
          <w:b w:val="1"/>
          <w:bCs w:val="1"/>
        </w:rPr>
        <w:t xml:space="preserve">BANK OF MAHARASHTRA</w:t>
      </w:r>
    </w:p>
    <w:p>
      <w:pPr>
        <w:jc w:val="center"/>
      </w:pPr>
      <w:r>
        <w:rPr>
          <w:rFonts w:ascii="Times New Roman" w:hAnsi="Times New Roman" w:eastAsia="Times New Roman" w:cs="Times New Roman"/>
          <w:sz w:val="42"/>
          <w:szCs w:val="42"/>
          <w:b w:val="1"/>
          <w:bCs w:val="1"/>
        </w:rPr>
        <w:t xml:space="preserve">SHIVAJINAGAR</w:t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</w:rPr>
        <w:t xml:space="preserve">VALUATION OF PROPERTY</w:t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</w:rPr>
        <w:t xml:space="preserve">BELONGING TO HELLO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PROPOSED PURCHASER : AAAA</w:t>
      </w:r>
    </w:p>
    <w:sectPr>
      <w:pgSz w:orient="landscape" w:w="23811.023622047243" w:h="16837.79527559055"/>
      <w:pgMar w:top="1500" w:right="1000" w:bottom="4000" w:left="14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2023-06-22T11:07:37+05:30</dcterms:created>
  <dcterms:modified xsi:type="dcterms:W3CDTF">2023-06-22T11:07:37+05:30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