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8233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2023-07-18</w:t>
      </w:r>
    </w:p>
    <w:p>
      <w:pPr/>
      <w:r>
        <w:rPr>
          <w:b w:val="1"/>
          <w:bCs w:val="1"/>
        </w:rPr>
        <w:t xml:space="preserve">BANK OF BARODA (EDENA)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37666</w:t>
      </w:r>
    </w:p>
    <w:p>
      <w:pPr/>
      <w:r>
        <w:rPr>
          <w:b w:val="1"/>
          <w:bCs w:val="1"/>
        </w:rPr>
        <w:t xml:space="preserve">NAGASHETTYHALLI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SDFSD (PROPOSED PURCHASER FS)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500/-</w:t>
      </w:r>
    </w:p>
    <w:p/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/>
    <w:p>
      <w:pPr>
        <w:jc w:val="right"/>
        <w:spacing w:line="288" w:lineRule="auto"/>
      </w:pPr>
      <w:r>
        <w:rPr>
          <w:b w:val="1"/>
          <w:bCs w:val="1"/>
        </w:rPr>
        <w:t xml:space="preserve">Grand Total : 590/-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FIVE HUNDRED  AND NINETY   RUPEES ONLY</w:t>
      </w:r>
    </w:p>
    <w:p/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