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8233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18-07-2023</w:t>
      </w:r>
    </w:p>
    <w:p>
      <w:pPr/>
      <w:r>
        <w:rPr>
          <w:b w:val="1"/>
          <w:bCs w:val="1"/>
        </w:rPr>
        <w:t xml:space="preserve">BANK OF BARODA (EDENA)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37666</w:t>
      </w:r>
    </w:p>
    <w:p>
      <w:pPr/>
      <w:r>
        <w:rPr>
          <w:b w:val="1"/>
          <w:bCs w:val="1"/>
        </w:rPr>
        <w:t xml:space="preserve">NAGASHETTYHALLI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SDFSD (PROPOSED PURCHASER FS)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500/-</w:t>
      </w:r>
    </w:p>
    <w:p>
      <w:pPr/>
      <w:r>
        <w:rPr>
          <w:b w:val="1"/>
          <w:bCs w:val="1"/>
        </w:rPr>
        <w:t xml:space="preserve">GSTIN : 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45/-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45/-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Grand Total : 590/-</w:t>
      </w:r>
    </w:p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FIVE HUNDRED  AND NINETY   RUPEES ONLY</w:t>
      </w:r>
    </w:p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INDIAN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Sheshadripuram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  A/c  No. = 857860303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IDIB000S014</w:t>
      </w:r>
    </w:p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2023-08-07T14:53:39+05:30</dcterms:created>
  <dcterms:modified xsi:type="dcterms:W3CDTF">2023-08-07T14:53:39+05:30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