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Calibri" w:hAnsi="Calibri"/>
          <w:b/>
          <w:color w:val="1F4E78"/>
          <w:sz w:val="50"/>
        </w:rPr>
        <w:t>PROPUESTA COMERCIAL</w:t>
      </w:r>
    </w:p>
    <w:p>
      <w:pPr>
        <w:spacing w:after="100"/>
        <w:jc w:val="center"/>
      </w:pPr>
      <w:r>
        <w:rPr>
          <w:b/>
          <w:sz w:val="32"/>
        </w:rPr>
        <w:t>Ajustes y optimización del sitio web ISEC</w:t>
      </w:r>
    </w:p>
    <w:p>
      <w:pPr>
        <w:spacing w:after="560"/>
        <w:jc w:val="center"/>
      </w:pPr>
      <w:r>
        <w:rPr>
          <w:color w:val="666666"/>
          <w:sz w:val="22"/>
        </w:rPr>
        <w:t>Magento Open Source 2.4.7-p2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rPr>
                <w:b/>
              </w:rPr>
              <w:t>Cliente</w:t>
            </w:r>
          </w:p>
        </w:tc>
        <w:tc>
          <w:tcPr>
            <w:tcW w:type="dxa" w:w="7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t>ISEC S.A.S.</w:t>
            </w:r>
          </w:p>
        </w:tc>
      </w:tr>
      <w:tr>
        <w:tc>
          <w:tcPr>
            <w:tcW w:type="dxa" w:w="23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rPr>
                <w:b/>
              </w:rPr>
              <w:t>Sitio web</w:t>
            </w:r>
          </w:p>
        </w:tc>
        <w:tc>
          <w:tcPr>
            <w:tcW w:type="dxa" w:w="7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t>https://isec.com.co</w:t>
            </w:r>
          </w:p>
        </w:tc>
      </w:tr>
      <w:tr>
        <w:tc>
          <w:tcPr>
            <w:tcW w:type="dxa" w:w="23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rPr>
                <w:b/>
              </w:rPr>
              <w:t>Tarifa</w:t>
            </w:r>
          </w:p>
        </w:tc>
        <w:tc>
          <w:tcPr>
            <w:tcW w:type="dxa" w:w="7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t>$120.000 COP por hora más IVA</w:t>
            </w:r>
          </w:p>
        </w:tc>
      </w:tr>
      <w:tr>
        <w:tc>
          <w:tcPr>
            <w:tcW w:type="dxa" w:w="23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rPr>
                <w:b/>
              </w:rPr>
              <w:t>Fecha</w:t>
            </w:r>
          </w:p>
        </w:tc>
        <w:tc>
          <w:tcPr>
            <w:tcW w:type="dxa" w:w="7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t>28 de agosto de 2026</w:t>
            </w:r>
          </w:p>
        </w:tc>
      </w:tr>
    </w:tbl>
    <w:p/>
    <w:p>
      <w:pPr>
        <w:jc w:val="center"/>
      </w:pPr>
      <w:r>
        <w:rPr>
          <w:b/>
          <w:color w:val="1F4E78"/>
          <w:sz w:val="30"/>
        </w:rPr>
        <w:t>Valor propuesto: $24.000.000 COP más IVA</w:t>
      </w:r>
    </w:p>
    <w:p>
      <w:pPr>
        <w:jc w:val="center"/>
      </w:pPr>
      <w:r>
        <w:rPr>
          <w:i/>
        </w:rPr>
        <w:t>Bolsa de 200 horas · Dedicación promedio de 4 horas diarias · Duración estimada de 10 a 12 semanas</w:t>
      </w:r>
    </w:p>
    <w:p>
      <w:r>
        <w:br w:type="page"/>
      </w:r>
    </w:p>
    <w:p>
      <w:pPr>
        <w:pStyle w:val="Heading1"/>
      </w:pPr>
      <w:r>
        <w:t>1. Presentación</w:t>
      </w:r>
    </w:p>
    <w:p>
      <w:r>
        <w:t>De acuerdo con la reunión realizada y el checklist de inconvenientes compartido, presentamos la propuesta para analizar e implementar los ajustes visuales, funcionales y responsive solicitados para las páginas de Distribuidores y Proyectos del sitio web de ISEC.</w:t>
      </w:r>
    </w:p>
    <w:p>
      <w:r>
        <w:t>La plataforma se encuentra implementada en Magento Open Source 2.4.7-p2 y alojada en AWS. Inicialmente, los cambios continuarán publicándose mediante el procedimiento disponible actualmente.</w:t>
      </w:r>
    </w:p>
    <w:p>
      <w:pPr>
        <w:pStyle w:val="Heading1"/>
      </w:pPr>
      <w:r>
        <w:t>2. Objetivo</w:t>
      </w:r>
    </w:p>
    <w:p>
      <w:r>
        <w:t>Realizar los ajustes relacionados en el checklist suministrado, procurando conservar la estabilidad de las funcionalidades existentes y documentando los cambios implementados.</w:t>
      </w:r>
    </w:p>
    <w:p>
      <w:pPr>
        <w:pStyle w:val="Heading1"/>
      </w:pPr>
      <w:r>
        <w:t>3. Alcance y estimación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490"/>
        <w:gridCol w:w="1350"/>
        <w:gridCol w:w="2870"/>
      </w:tblGrid>
      <w:tr>
        <w:trPr>
          <w:tblHeader/>
        </w:trPr>
        <w:tc>
          <w:tcPr>
            <w:tcW w:type="dxa" w:w="65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ÍTEM</w:t>
            </w:r>
          </w:p>
        </w:tc>
        <w:tc>
          <w:tcPr>
            <w:tcW w:type="dxa" w:w="449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AJUSTE</w:t>
            </w:r>
          </w:p>
        </w:tc>
        <w:tc>
          <w:tcPr>
            <w:tcW w:type="dxa" w:w="135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ESTIMACIÓN</w:t>
            </w:r>
          </w:p>
        </w:tc>
        <w:tc>
          <w:tcPr>
            <w:tcW w:type="dxa" w:w="287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VALOR ESTIMADO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Análisis página web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12–20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$1.440.000–$2.400.000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Mejorar la visual de la recepción de los formularios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6–12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$720.000–$1.440.000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Revisión íconos social media debajo de logo de ISEC en el home y pre home (responsive también)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4–8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$480.000–$960.000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Supermenú responsive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12–20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$1.440.000–$2.400.000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Categorías de productos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10–18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$1.200.000–$2.160.000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Plantilla de visualización productos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20–32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$2.400.000–$3.840.000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reCAPTCHA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3–6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$360.000–$720.000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Formulario creación de cuenta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14–26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$1.680.000–$3.120.000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Ajuste supermenú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10–18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$1.200.000–$2.160.000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Formulario contáctenos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6–12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$720.000–$1.440.000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Base de datos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8–16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$960.000–$1.920.000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Quitar carrito del supermenú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2–4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$240.000–$480.000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Logo ISEC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2–4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$240.000–$480.000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Agregar ícono casa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2–3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$240.000–$360.000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Recarga del prehome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6–12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$720.000–$1.440.000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Plantillas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16–30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$1.920.000–$3.600.000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Ajuste copyright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2–3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$240.000–$360.000</w:t>
            </w:r>
          </w:p>
        </w:tc>
      </w:tr>
      <w:tr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44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Capacitaciones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sz w:val="16"/>
              </w:rPr>
              <w:t>8–12 h</w:t>
            </w:r>
          </w:p>
        </w:tc>
        <w:tc>
          <w:tcPr>
            <w:tcW w:type="dxa" w:w="2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sz w:val="16"/>
              </w:rPr>
              <w:t>$960.000–$1.440.000</w:t>
            </w:r>
          </w:p>
        </w:tc>
      </w:tr>
      <w:tr>
        <w:tc>
          <w:tcPr>
            <w:tcW w:type="dxa" w:w="4490"/>
            <w:gridSpan w:val="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rPr>
                <w:b/>
                <w:sz w:val="17"/>
              </w:rPr>
              <w:t>TOTAL ESTIMADO</w:t>
            </w:r>
          </w:p>
        </w:tc>
        <w:tc>
          <w:tcPr>
            <w:tcW w:type="dxa" w:w="135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rPr>
                <w:b/>
                <w:sz w:val="17"/>
              </w:rPr>
              <w:t>143–256 h</w:t>
            </w:r>
          </w:p>
        </w:tc>
        <w:tc>
          <w:tcPr>
            <w:tcW w:type="dxa" w:w="287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rPr>
                <w:b/>
                <w:sz w:val="17"/>
              </w:rPr>
              <w:t>$17.160.000–$30.720.000</w:t>
            </w:r>
          </w:p>
        </w:tc>
      </w:tr>
    </w:tbl>
    <w:p>
      <w:r>
        <w:t>Las cifras anteriores son estimaciones por actividad. Algunos ajustes comparten componentes y podrán ejecutarse conjuntamente. El consumo real se controlará contra la bolsa contratada.</w:t>
      </w:r>
    </w:p>
    <w:p>
      <w:pPr>
        <w:pStyle w:val="Heading1"/>
      </w:pPr>
      <w:r>
        <w:t>4. Propuesta económica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rPr>
                <w:b/>
              </w:rPr>
              <w:t>Bolsa de trabajo</w:t>
            </w:r>
          </w:p>
        </w:tc>
        <w:tc>
          <w:tcPr>
            <w:tcW w:type="dxa" w:w="6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t>200 horas</w:t>
            </w:r>
          </w:p>
        </w:tc>
      </w:tr>
      <w:tr>
        <w:tc>
          <w:tcPr>
            <w:tcW w:type="dxa" w:w="3000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rPr>
                <w:b/>
              </w:rPr>
              <w:t>Dedicación promedio</w:t>
            </w:r>
          </w:p>
        </w:tc>
        <w:tc>
          <w:tcPr>
            <w:tcW w:type="dxa" w:w="6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t>4 horas diarias, de lunes a viernes</w:t>
            </w:r>
          </w:p>
        </w:tc>
      </w:tr>
      <w:tr>
        <w:tc>
          <w:tcPr>
            <w:tcW w:type="dxa" w:w="3000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rPr>
                <w:b/>
              </w:rPr>
              <w:t>Tarifa por hora</w:t>
            </w:r>
          </w:p>
        </w:tc>
        <w:tc>
          <w:tcPr>
            <w:tcW w:type="dxa" w:w="6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t>$120.000 COP más IVA</w:t>
            </w:r>
          </w:p>
        </w:tc>
      </w:tr>
      <w:tr>
        <w:tc>
          <w:tcPr>
            <w:tcW w:type="dxa" w:w="3000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rPr>
                <w:b/>
              </w:rPr>
              <w:t>Valor propuesto</w:t>
            </w:r>
          </w:p>
        </w:tc>
        <w:tc>
          <w:tcPr>
            <w:tcW w:type="dxa" w:w="6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t>$24.000.000 COP más IVA</w:t>
            </w:r>
          </w:p>
        </w:tc>
      </w:tr>
      <w:tr>
        <w:tc>
          <w:tcPr>
            <w:tcW w:type="dxa" w:w="3000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rPr>
                <w:b/>
              </w:rPr>
              <w:t>Duración estimada</w:t>
            </w:r>
          </w:p>
        </w:tc>
        <w:tc>
          <w:tcPr>
            <w:tcW w:type="dxa" w:w="6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t>10–12 semanas calendario</w:t>
            </w:r>
          </w:p>
        </w:tc>
      </w:tr>
      <w:tr>
        <w:tc>
          <w:tcPr>
            <w:tcW w:type="dxa" w:w="3000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rPr>
                <w:b/>
              </w:rPr>
              <w:t>Horas adicionales</w:t>
            </w:r>
          </w:p>
        </w:tc>
        <w:tc>
          <w:tcPr>
            <w:tcW w:type="dxa" w:w="6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t>$120.000 COP más IVA, previa autorización</w:t>
            </w:r>
          </w:p>
        </w:tc>
      </w:tr>
    </w:tbl>
    <w:p>
      <w:r>
        <w:t>La estimación podrá revisarse después de completar Análisis página web, debido a que inicialmente no se cuenta con acceso al código ni con información completa sobre la construcción del proyecto. No se ejecutarán horas adicionales sin autorización del cliente.</w:t>
      </w:r>
    </w:p>
    <w:p>
      <w:r>
        <w:t>Las horas ejecutadas se registrarán y compartirán con el cliente mediante un archivo de Excel.</w:t>
      </w:r>
    </w:p>
    <w:p>
      <w:pPr>
        <w:pStyle w:val="Heading1"/>
      </w:pPr>
      <w:r>
        <w:t>5. Propuesta comercial y metodología / forma de trabajo</w:t>
      </w:r>
    </w:p>
    <w:p>
      <w:pPr>
        <w:pStyle w:val="ListNumber"/>
        <w:spacing w:after="60"/>
        <w:ind w:left="461" w:hanging="288"/>
      </w:pPr>
      <w:r>
        <w:t>Revisión del funcionamiento actual y análisis del código relacionado con el checklist.</w:t>
      </w:r>
    </w:p>
    <w:p>
      <w:pPr>
        <w:pStyle w:val="ListNumber"/>
        <w:spacing w:after="60"/>
        <w:ind w:left="461" w:hanging="288"/>
      </w:pPr>
      <w:r>
        <w:t>Priorización de los ítems con el cliente.</w:t>
      </w:r>
    </w:p>
    <w:p>
      <w:pPr>
        <w:pStyle w:val="ListNumber"/>
        <w:spacing w:after="60"/>
        <w:ind w:left="461" w:hanging="288"/>
      </w:pPr>
      <w:r>
        <w:t>Desarrollo de los ajustes por bloques.</w:t>
      </w:r>
    </w:p>
    <w:p>
      <w:pPr>
        <w:pStyle w:val="ListNumber"/>
        <w:spacing w:after="60"/>
        <w:ind w:left="461" w:hanging="288"/>
      </w:pPr>
      <w:r>
        <w:t>Presentación de los cambios para revisión.</w:t>
      </w:r>
    </w:p>
    <w:p>
      <w:pPr>
        <w:pStyle w:val="ListNumber"/>
        <w:spacing w:after="60"/>
        <w:ind w:left="461" w:hanging="288"/>
      </w:pPr>
      <w:r>
        <w:t>Aplicación de observaciones.</w:t>
      </w:r>
    </w:p>
    <w:p>
      <w:pPr>
        <w:pStyle w:val="ListNumber"/>
        <w:spacing w:after="60"/>
        <w:ind w:left="461" w:hanging="288"/>
      </w:pPr>
      <w:r>
        <w:t>Pruebas visuales, funcionales y responsive.</w:t>
      </w:r>
    </w:p>
    <w:p>
      <w:pPr>
        <w:pStyle w:val="ListNumber"/>
        <w:spacing w:after="60"/>
        <w:ind w:left="461" w:hanging="288"/>
      </w:pPr>
      <w:r>
        <w:t>Publicación de los cambios aprobados mediante el procedimiento disponible actualmente.</w:t>
      </w:r>
    </w:p>
    <w:p>
      <w:pPr>
        <w:pStyle w:val="ListNumber"/>
        <w:spacing w:after="60"/>
        <w:ind w:left="461" w:hanging="288"/>
      </w:pPr>
      <w:r>
        <w:t>Entrega de documentación y capacitación.</w:t>
      </w:r>
    </w:p>
    <w:p>
      <w:pPr>
        <w:pStyle w:val="Heading1"/>
      </w:pPr>
      <w:r>
        <w:t>6. Análisis y documentación de los cambios</w:t>
      </w:r>
    </w:p>
    <w:p>
      <w:r>
        <w:t>El análisis inicial se enfocará exclusivamente en los componentes necesarios para desarrollar el checklist e incluirá:</w:t>
      </w:r>
    </w:p>
    <w:p>
      <w:pPr>
        <w:pStyle w:val="ListBullet"/>
        <w:spacing w:after="60"/>
        <w:ind w:left="403" w:hanging="259"/>
      </w:pPr>
      <w:r>
        <w:t>Revisión general de la estructura de carpetas.</w:t>
      </w:r>
    </w:p>
    <w:p>
      <w:pPr>
        <w:pStyle w:val="ListBullet"/>
        <w:spacing w:after="60"/>
        <w:ind w:left="403" w:hanging="259"/>
      </w:pPr>
      <w:r>
        <w:t>Identificación del tema, módulos y plantillas relacionados con los ajustes.</w:t>
      </w:r>
    </w:p>
    <w:p>
      <w:pPr>
        <w:pStyle w:val="ListBullet"/>
        <w:spacing w:after="60"/>
        <w:ind w:left="403" w:hanging="259"/>
      </w:pPr>
      <w:r>
        <w:t>Identificación de los archivos que deberán modificarse.</w:t>
      </w:r>
    </w:p>
    <w:p>
      <w:pPr>
        <w:pStyle w:val="ListBullet"/>
        <w:spacing w:after="60"/>
        <w:ind w:left="403" w:hanging="259"/>
      </w:pPr>
      <w:r>
        <w:t>Revisión general del funcionamiento de formularios, menús, productos, usuarios y prehome.</w:t>
      </w:r>
    </w:p>
    <w:p>
      <w:pPr>
        <w:pStyle w:val="ListBullet"/>
        <w:spacing w:after="60"/>
        <w:ind w:left="403" w:hanging="259"/>
      </w:pPr>
      <w:r>
        <w:t>Identificación de dependencias o personalizaciones que puedan afectar el desarrollo.</w:t>
      </w:r>
    </w:p>
    <w:p>
      <w:pPr>
        <w:pStyle w:val="ListBullet"/>
        <w:spacing w:after="60"/>
        <w:ind w:left="403" w:hanging="259"/>
      </w:pPr>
      <w:r>
        <w:t>Registro de riesgos o bloqueos directamente relacionados con el alcance.</w:t>
      </w:r>
    </w:p>
    <w:p>
      <w:r>
        <w:t>La documentación técnica de los cambios se almacenará junto al código intervenido, preferiblemente en un archivo README.md general o dentro del módulo o tema correspondiente. Incluirá la descripción del cambio, los componentes intervenidos, las configuraciones requeridas y las consideraciones básicas para su validación.</w:t>
      </w:r>
    </w:p>
    <w:p>
      <w:pPr>
        <w:pStyle w:val="Heading1"/>
      </w:pPr>
      <w:r>
        <w:t>7. Auditoría documentada paso a paso y acompañamiento mediante cápsulas en video</w:t>
      </w:r>
    </w:p>
    <w:p>
      <w:r>
        <w:t>Los hallazgos relacionados con el checklist y los cambios implementados quedarán documentados progresivamente. Las cápsulas en video se utilizarán para explicar los procesos que requieran demostración práctica, tales como la administración de categorías y productos, el uso de formularios, las plantillas modificadas o los cambios administrativos que posteriormente pueda realizar el cliente.</w:t>
      </w:r>
    </w:p>
    <w:p>
      <w:r>
        <w:t>La documentación y los videos se limitarán a los componentes incluidos en el checklist y efectivamente intervenidos.</w:t>
      </w:r>
    </w:p>
    <w:p>
      <w:pPr>
        <w:pStyle w:val="Heading1"/>
      </w:pPr>
      <w:r>
        <w:t>8. Tarifa por horas de desarrollo para ajustes técnicos específicos</w:t>
      </w:r>
    </w:p>
    <w:p>
      <w:r>
        <w:t>Los ajustes técnicos adicionales que no se encuentren dentro del checklist tendrán una tarifa de $120.000 COP por hora más IVA. Antes de iniciar una actividad adicional se informará su descripción, estimación de horas y valor estimado. La ejecución requerirá aprobación previa del cliente.</w:t>
      </w:r>
    </w:p>
    <w:p>
      <w:pPr>
        <w:pStyle w:val="Heading1"/>
      </w:pPr>
      <w:r>
        <w:t>9. Entregables</w:t>
      </w:r>
    </w:p>
    <w:p>
      <w:pPr>
        <w:pStyle w:val="ListBullet"/>
        <w:spacing w:after="60"/>
        <w:ind w:left="403" w:hanging="259"/>
      </w:pPr>
      <w:r>
        <w:t>Ajustes aprobados correspondientes al checklist.</w:t>
      </w:r>
    </w:p>
    <w:p>
      <w:pPr>
        <w:pStyle w:val="ListBullet"/>
        <w:spacing w:after="60"/>
        <w:ind w:left="403" w:hanging="259"/>
      </w:pPr>
      <w:r>
        <w:t>Archivo de Excel con el registro de horas y actividades.</w:t>
      </w:r>
    </w:p>
    <w:p>
      <w:pPr>
        <w:pStyle w:val="ListBullet"/>
        <w:spacing w:after="60"/>
        <w:ind w:left="403" w:hanging="259"/>
      </w:pPr>
      <w:r>
        <w:t>Documentación técnica de los cambios en archivos README.md.</w:t>
      </w:r>
    </w:p>
    <w:p>
      <w:pPr>
        <w:pStyle w:val="ListBullet"/>
        <w:spacing w:after="60"/>
        <w:ind w:left="403" w:hanging="259"/>
      </w:pPr>
      <w:r>
        <w:t>Relación de archivos modificados.</w:t>
      </w:r>
    </w:p>
    <w:p>
      <w:pPr>
        <w:pStyle w:val="ListBullet"/>
        <w:spacing w:after="60"/>
        <w:ind w:left="403" w:hanging="259"/>
      </w:pPr>
      <w:r>
        <w:t>Evidencias básicas de las pruebas realizadas.</w:t>
      </w:r>
    </w:p>
    <w:p>
      <w:pPr>
        <w:pStyle w:val="ListBullet"/>
        <w:spacing w:after="60"/>
        <w:ind w:left="403" w:hanging="259"/>
      </w:pPr>
      <w:r>
        <w:t>Cápsulas de video correspondientes a las capacitaciones.</w:t>
      </w:r>
    </w:p>
    <w:p>
      <w:pPr>
        <w:pStyle w:val="ListBullet"/>
        <w:spacing w:after="60"/>
        <w:ind w:left="403" w:hanging="259"/>
      </w:pPr>
      <w:r>
        <w:t>Sesión de entrega y socialización.</w:t>
      </w:r>
    </w:p>
    <w:p>
      <w:pPr>
        <w:pStyle w:val="Heading1"/>
      </w:pPr>
      <w:r>
        <w:t>10. Recomendaciones opcionales — Nice to have</w:t>
      </w:r>
    </w:p>
    <w:p>
      <w:r>
        <w:t>Durante el desarrollo podrán identificarse oportunidades de mejora que no forman parte del alcance principal, como:</w:t>
      </w:r>
    </w:p>
    <w:p>
      <w:pPr>
        <w:pStyle w:val="ListBullet"/>
        <w:spacing w:after="60"/>
        <w:ind w:left="403" w:hanging="259"/>
      </w:pPr>
      <w:r>
        <w:t>Crear un repositorio en GitHub, GitLab, Bitbucket u otro gestor de versionamiento.</w:t>
      </w:r>
    </w:p>
    <w:p>
      <w:pPr>
        <w:pStyle w:val="ListBullet"/>
        <w:spacing w:after="60"/>
        <w:ind w:left="403" w:hanging="259"/>
      </w:pPr>
      <w:r>
        <w:t>Organizar un flujo controlado para la publicación de cambios.</w:t>
      </w:r>
    </w:p>
    <w:p>
      <w:pPr>
        <w:pStyle w:val="ListBullet"/>
        <w:spacing w:after="60"/>
        <w:ind w:left="403" w:hanging="259"/>
      </w:pPr>
      <w:r>
        <w:t>Crear un ambiente independiente de pruebas.</w:t>
      </w:r>
    </w:p>
    <w:p>
      <w:pPr>
        <w:pStyle w:val="ListBullet"/>
        <w:spacing w:after="60"/>
        <w:ind w:left="403" w:hanging="259"/>
      </w:pPr>
      <w:r>
        <w:t>Revisar la actualización de Magento y sus parches de seguridad.</w:t>
      </w:r>
    </w:p>
    <w:p>
      <w:pPr>
        <w:pStyle w:val="ListBullet"/>
        <w:spacing w:after="60"/>
        <w:ind w:left="403" w:hanging="259"/>
      </w:pPr>
      <w:r>
        <w:t>Mejorar la documentación técnica general del proyecto.</w:t>
      </w:r>
    </w:p>
    <w:p>
      <w:r>
        <w:t>Estas actividades se presentarán únicamente como recomendaciones y no se ejecutarán ni consumirán horas sin autorización previa del cliente.</w:t>
      </w:r>
    </w:p>
    <w:p>
      <w:pPr>
        <w:pStyle w:val="Heading1"/>
      </w:pPr>
      <w:r>
        <w:t>11. Supuestos</w:t>
      </w:r>
    </w:p>
    <w:p>
      <w:r>
        <w:t>Para ejecutar los ajustes, el cliente facilitará los accesos e información necesarios, incluyendo código del sitio, panel administrativo de Magento, archivos, base de datos cuando corresponda, contenidos y una persona responsable de revisar y aprobar los cambios.</w:t>
      </w:r>
    </w:p>
    <w:p>
      <w:pPr>
        <w:pStyle w:val="Heading1"/>
      </w:pPr>
      <w:r>
        <w:t>12. Forma de pago propuesta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1800"/>
        <w:gridCol w:w="3360"/>
      </w:tblGrid>
      <w:tr>
        <w:tc>
          <w:tcPr>
            <w:tcW w:type="dxa" w:w="42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18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PORCENTAJE</w:t>
            </w:r>
          </w:p>
        </w:tc>
        <w:tc>
          <w:tcPr>
            <w:tcW w:type="dxa" w:w="336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t>Inicio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center"/>
            </w:pPr>
            <w:r>
              <w:t>40 %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right"/>
            </w:pPr>
            <w:r>
              <w:t>$9.600.000 más IVA</w:t>
            </w:r>
          </w:p>
        </w:tc>
      </w:tr>
      <w:tr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t>Entrega del primer bloque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center"/>
            </w:pPr>
            <w:r>
              <w:t>30 %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right"/>
            </w:pPr>
            <w:r>
              <w:t>$7.200.000 más IVA</w:t>
            </w:r>
          </w:p>
        </w:tc>
      </w:tr>
      <w:tr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t>Entrega del segundo bloque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center"/>
            </w:pPr>
            <w:r>
              <w:t>20 %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right"/>
            </w:pPr>
            <w:r>
              <w:t>$4.800.000 más IVA</w:t>
            </w:r>
          </w:p>
        </w:tc>
      </w:tr>
      <w:tr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</w:pPr>
            <w:r>
              <w:t>Entrega final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center"/>
            </w:pPr>
            <w:r>
              <w:t>10 %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Lines/>
              <w:jc w:val="right"/>
            </w:pPr>
            <w:r>
              <w:t>$2.400.000 más IVA</w:t>
            </w:r>
          </w:p>
        </w:tc>
      </w:tr>
    </w:tbl>
    <w:p>
      <w:pPr>
        <w:pStyle w:val="Heading1"/>
      </w:pPr>
      <w:r>
        <w:t>13. Vigencia y aceptación</w:t>
      </w:r>
    </w:p>
    <w:p>
      <w:r>
        <w:t>La propuesta tiene una vigencia de 15 días calendario. El inicio del proyecto estará sujeto a la aprobación escrita, el pago inicial y la entrega de los accesos necesarios.</w:t>
      </w:r>
    </w:p>
    <w:p>
      <w:r>
        <w:br/>
        <w:t>Nombre: ____________________________________________</w:t>
      </w:r>
    </w:p>
    <w:p>
      <w:r>
        <w:t>Cargo: _____________________________________________</w:t>
      </w:r>
    </w:p>
    <w:p>
      <w:r>
        <w:t>Firma: _____________________________________________</w:t>
      </w:r>
    </w:p>
    <w:p>
      <w:r>
        <w:t>Fecha: 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Propuesta confidencial · Vigencia: 15 días calendario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7"/>
      </w:rPr>
      <w:t>ISEC S.A.S.  |  Propuesta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- Ajustes sitio web ISEC</dc:title>
  <dc:subject>Ajustes y optimización del sitio web ISEC</dc:subject>
  <dc:creator>Propuesta comercial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