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592"/>
        <w:gridCol w:w="1786"/>
        <w:gridCol w:w="1786"/>
      </w:tblGrid>
      <w:tr>
        <w:tc>
          <w:tcPr>
            <w:tcW w:type="dxa" w:w="2223"/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</w:rPr>
              <w:t>AP PATERNO</w:t>
            </w:r>
          </w:p>
        </w:tc>
        <w:tc>
          <w:tcPr>
            <w:tcW w:type="dxa" w:w="2223"/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</w:rPr>
              <w:t>AP MATERNO</w:t>
            </w:r>
          </w:p>
        </w:tc>
        <w:tc>
          <w:tcPr>
            <w:tcW w:type="dxa" w:w="2223"/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</w:rPr>
              <w:t>NOMBRES</w:t>
            </w:r>
          </w:p>
        </w:tc>
        <w:tc>
          <w:tcPr>
            <w:tcW w:type="dxa" w:w="2223"/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</w:rPr>
              <w:t>HISTORIA CLÍNICA</w:t>
            </w:r>
          </w:p>
        </w:tc>
        <w:tc>
          <w:tcPr>
            <w:tcW w:type="dxa" w:w="2223"/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</w:rPr>
              <w:t>NO CAMA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Cunia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Vilca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Martina</w:t>
            </w:r>
          </w:p>
        </w:tc>
        <w:tc>
          <w:tcPr>
            <w:tcW w:type="dxa" w:w="1786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311663</w:t>
            </w:r>
          </w:p>
        </w:tc>
        <w:tc>
          <w:tcPr>
            <w:tcW w:type="dxa" w:w="1786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6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592"/>
        <w:gridCol w:w="5472"/>
        <w:gridCol w:w="2419"/>
      </w:tblGrid>
      <w:tr>
        <w:tc>
          <w:tcPr>
            <w:tcW w:type="dxa" w:w="3705"/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</w:rPr>
              <w:t>FECHA Y HORA</w:t>
            </w:r>
          </w:p>
        </w:tc>
        <w:tc>
          <w:tcPr>
            <w:tcW w:type="dxa" w:w="3705"/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</w:rPr>
              <w:t>NOTAS DE EVOLUCIÓN</w:t>
            </w:r>
          </w:p>
        </w:tc>
        <w:tc>
          <w:tcPr>
            <w:tcW w:type="dxa" w:w="3705"/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</w:rPr>
              <w:t>ÓRDENES MÉDICAS</w:t>
            </w:r>
          </w:p>
        </w:tc>
      </w:tr>
      <w:tr>
        <w:tc>
          <w:tcPr>
            <w:tcW w:type="dxa" w:w="2592"/>
          </w:tcPr>
          <w:p>
            <w:r>
              <w:rPr>
                <w:rFonts w:ascii="Arial" w:hAnsi="Arial"/>
                <w:b/>
                <w:sz w:val="16"/>
              </w:rPr>
              <w:t>Lunes</w:t>
              <w:br/>
            </w:r>
            <w:r>
              <w:rPr>
                <w:rFonts w:ascii="Arial" w:hAnsi="Arial"/>
                <w:sz w:val="16"/>
              </w:rPr>
              <w:t>12/05/25</w:t>
              <w:br/>
            </w:r>
            <w:r>
              <w:rPr>
                <w:rFonts w:ascii="Arial" w:hAnsi="Arial"/>
                <w:sz w:val="16"/>
              </w:rPr>
              <w:t>07:00</w:t>
              <w:br/>
              <w:br/>
            </w:r>
            <w:r>
              <w:rPr>
                <w:rFonts w:ascii="Arial" w:hAnsi="Arial"/>
                <w:b/>
                <w:sz w:val="16"/>
              </w:rPr>
              <w:t xml:space="preserve">PA: </w:t>
            </w:r>
            <w:r>
              <w:rPr>
                <w:rFonts w:ascii="Arial" w:hAnsi="Arial"/>
                <w:sz w:val="16"/>
              </w:rPr>
              <w:t>170</w:t>
              <w:br/>
            </w:r>
            <w:r>
              <w:rPr>
                <w:rFonts w:ascii="Arial" w:hAnsi="Arial"/>
                <w:b/>
                <w:sz w:val="16"/>
              </w:rPr>
              <w:t xml:space="preserve">FC: </w:t>
            </w:r>
            <w:r>
              <w:rPr>
                <w:rFonts w:ascii="Arial" w:hAnsi="Arial"/>
                <w:sz w:val="16"/>
              </w:rPr>
              <w:t>68</w:t>
              <w:br/>
            </w:r>
            <w:r>
              <w:rPr>
                <w:rFonts w:ascii="Arial" w:hAnsi="Arial"/>
                <w:b/>
                <w:sz w:val="16"/>
              </w:rPr>
              <w:t xml:space="preserve">FR: </w:t>
            </w:r>
            <w:r>
              <w:rPr>
                <w:rFonts w:ascii="Arial" w:hAnsi="Arial"/>
                <w:sz w:val="16"/>
              </w:rPr>
              <w:t>17</w:t>
              <w:br/>
            </w:r>
            <w:r>
              <w:rPr>
                <w:rFonts w:ascii="Arial" w:hAnsi="Arial"/>
                <w:b/>
                <w:sz w:val="16"/>
              </w:rPr>
              <w:t xml:space="preserve">O2: </w:t>
            </w:r>
            <w:r>
              <w:rPr>
                <w:rFonts w:ascii="Arial" w:hAnsi="Arial"/>
                <w:sz w:val="16"/>
              </w:rPr>
              <w:t>95</w:t>
              <w:br/>
            </w:r>
          </w:p>
        </w:tc>
        <w:tc>
          <w:tcPr>
            <w:tcW w:type="dxa" w:w="5472"/>
          </w:tcPr>
          <w:p>
            <w:r>
              <w:rPr>
                <w:rFonts w:ascii="Arial" w:hAnsi="Arial"/>
                <w:sz w:val="16"/>
              </w:rPr>
              <w:t>Paciente de sexo femenino de 68 años de edad en su 14 día de internación con los diagnósticos de:</w:t>
              <w:br/>
              <w:br/>
            </w:r>
            <w:r>
              <w:rPr>
                <w:rFonts w:ascii="Arial" w:hAnsi="Arial"/>
                <w:b/>
                <w:sz w:val="16"/>
              </w:rPr>
              <w:t>DIAGNÓSTICOS:</w:t>
              <w:br/>
            </w:r>
            <w:r>
              <w:rPr>
                <w:rFonts w:ascii="Arial" w:hAnsi="Arial"/>
                <w:sz w:val="16"/>
              </w:rPr>
              <w:t>• ACCIDENTE CEREBROVASCULAR ISQUÉMICO AGUDO CONVERTIDO EN HEMORRÁGICO EN EL LÓBULO FRONTOPARIETAL IZQUIERDO DE PROBABLE ETIOLOGÍA CARDIOEMBÓLICA</w:t>
              <w:br/>
            </w:r>
            <w:r>
              <w:rPr>
                <w:rFonts w:ascii="Arial" w:hAnsi="Arial"/>
                <w:sz w:val="16"/>
              </w:rPr>
              <w:t>• INSUFICIENCIA CARDÍACA DESCOMPENSADA</w:t>
              <w:br/>
            </w:r>
            <w:r>
              <w:rPr>
                <w:rFonts w:ascii="Arial" w:hAnsi="Arial"/>
                <w:sz w:val="16"/>
              </w:rPr>
              <w:t>• SÍNDROME ICTÉRICO EN ESTUDIO SECUNDARIO A HEPATITIS MEDICAMENTOSA EN REMISIÓN</w:t>
              <w:br/>
            </w:r>
            <w:r>
              <w:rPr>
                <w:rFonts w:ascii="Arial" w:hAnsi="Arial"/>
                <w:sz w:val="16"/>
              </w:rPr>
              <w:br/>
            </w:r>
            <w:r>
              <w:rPr>
                <w:rFonts w:ascii="Arial" w:hAnsi="Arial"/>
                <w:b/>
                <w:sz w:val="16"/>
              </w:rPr>
              <w:t xml:space="preserve">S: </w:t>
            </w:r>
            <w:r>
              <w:rPr>
                <w:rFonts w:ascii="Arial" w:hAnsi="Arial"/>
                <w:sz w:val="16"/>
              </w:rPr>
              <w:t>Paciente refiere pasar el turno en regular estado general, sin náuseas ni vómitos, conciliando el sueño de manera intermitente.</w:t>
              <w:br/>
              <w:br/>
            </w:r>
            <w:r>
              <w:rPr>
                <w:rFonts w:ascii="Arial" w:hAnsi="Arial"/>
                <w:b/>
                <w:sz w:val="16"/>
              </w:rPr>
              <w:t xml:space="preserve">Cuello: </w:t>
            </w:r>
            <w:r>
              <w:rPr>
                <w:rFonts w:ascii="Arial" w:hAnsi="Arial"/>
                <w:sz w:val="16"/>
              </w:rPr>
              <w:t>Simétrico, cilíndrico, móvil, presencia de nevo senil, sin adenopatías palpables, con ingurgitación yugular grado 3.</w:t>
              <w:br/>
            </w:r>
            <w:r>
              <w:rPr>
                <w:rFonts w:ascii="Arial" w:hAnsi="Arial"/>
                <w:b/>
                <w:sz w:val="16"/>
              </w:rPr>
              <w:t xml:space="preserve">Tórax anterior: </w:t>
            </w:r>
            <w:r>
              <w:rPr>
                <w:rFonts w:ascii="Arial" w:hAnsi="Arial"/>
                <w:sz w:val="16"/>
              </w:rPr>
              <w:t>Ruidos cardíacos rítmicos, regulares, normofonéticos.</w:t>
              <w:br/>
            </w:r>
            <w:r>
              <w:rPr>
                <w:rFonts w:ascii="Arial" w:hAnsi="Arial"/>
                <w:b/>
                <w:sz w:val="16"/>
              </w:rPr>
              <w:t xml:space="preserve">Tórax posterior: </w:t>
            </w:r>
            <w:r>
              <w:rPr>
                <w:rFonts w:ascii="Arial" w:hAnsi="Arial"/>
                <w:sz w:val="16"/>
              </w:rPr>
              <w:t>A la auscultación con murmullo vesicular disminuido en ambos campos pulmonares, presencia de estertores esporádicos en bases pulmonares.</w:t>
              <w:br/>
            </w:r>
            <w:r>
              <w:rPr>
                <w:rFonts w:ascii="Arial" w:hAnsi="Arial"/>
                <w:b/>
                <w:sz w:val="16"/>
              </w:rPr>
              <w:t xml:space="preserve">Abdomen: </w:t>
            </w:r>
            <w:r>
              <w:rPr>
                <w:rFonts w:ascii="Arial" w:hAnsi="Arial"/>
                <w:sz w:val="16"/>
              </w:rPr>
              <w:t>Semigloboso, simétrico, sin presencia de lesiones visibles o cicatrices. A la auscultación con ruidos hidroaéreos positivos y peristaltismo normoactivo. No doloroso a la palpación.</w:t>
              <w:br/>
            </w:r>
            <w:r>
              <w:rPr>
                <w:rFonts w:ascii="Arial" w:hAnsi="Arial"/>
                <w:b/>
                <w:sz w:val="16"/>
              </w:rPr>
              <w:t xml:space="preserve">Genitourinario: </w:t>
            </w:r>
            <w:r>
              <w:rPr>
                <w:rFonts w:ascii="Arial" w:hAnsi="Arial"/>
                <w:sz w:val="16"/>
              </w:rPr>
              <w:t>Presencia de sonda vesical conectada a bolsa colectora con débito de características normales.</w:t>
              <w:br/>
            </w:r>
            <w:r>
              <w:rPr>
                <w:rFonts w:ascii="Arial" w:hAnsi="Arial"/>
                <w:b/>
                <w:sz w:val="16"/>
              </w:rPr>
              <w:t xml:space="preserve">Extremidades: </w:t>
            </w:r>
            <w:r>
              <w:rPr>
                <w:rFonts w:ascii="Arial" w:hAnsi="Arial"/>
                <w:sz w:val="16"/>
              </w:rPr>
              <w:t>Tono y trofismo disminuido en miembros superiores e inferiores, sin presencia de edemas.</w:t>
              <w:br/>
            </w:r>
            <w:r>
              <w:rPr>
                <w:rFonts w:ascii="Arial" w:hAnsi="Arial"/>
                <w:b/>
                <w:sz w:val="16"/>
              </w:rPr>
              <w:br/>
              <w:t xml:space="preserve">EFG: </w:t>
            </w:r>
            <w:r>
              <w:rPr>
                <w:rFonts w:ascii="Arial" w:hAnsi="Arial"/>
                <w:sz w:val="16"/>
              </w:rPr>
              <w:t>Paciente en decúbito dorsal pasivo, facies compuesta, afebril, mucosas húmedas e ictéricas, tejido muscular caquéctico, comodidad activa y pasiva reducida.</w:t>
              <w:br/>
            </w:r>
            <w:r>
              <w:rPr>
                <w:rFonts w:ascii="Arial" w:hAnsi="Arial"/>
                <w:b/>
                <w:sz w:val="16"/>
              </w:rPr>
              <w:br/>
              <w:t xml:space="preserve">ENB: </w:t>
            </w:r>
            <w:r>
              <w:rPr>
                <w:rFonts w:ascii="Arial" w:hAnsi="Arial"/>
                <w:sz w:val="16"/>
              </w:rPr>
              <w:t>Vigil, pupilas isocóricas fotorreactivas., Sin foco motor ni sensitivo., Glasgow 15/15</w:t>
              <w:br/>
            </w:r>
          </w:p>
        </w:tc>
        <w:tc>
          <w:tcPr>
            <w:tcW w:type="dxa" w:w="2419"/>
          </w:tcPr>
          <w:p>
            <w:r>
              <w:rPr>
                <w:rFonts w:ascii="Arial" w:hAnsi="Arial"/>
                <w:sz w:val="16"/>
              </w:rPr>
              <w:t>1. Dieta blanda</w:t>
              <w:br/>
            </w:r>
            <w:r>
              <w:rPr>
                <w:rFonts w:ascii="Arial" w:hAnsi="Arial"/>
                <w:sz w:val="16"/>
              </w:rPr>
              <w:t>2. Controles de signos vitales y diuresis por turno</w:t>
              <w:br/>
            </w:r>
            <w:r>
              <w:rPr>
                <w:rFonts w:ascii="Arial" w:hAnsi="Arial"/>
                <w:sz w:val="16"/>
              </w:rPr>
              <w:t>3. Cabecera a 30 grados</w:t>
              <w:br/>
            </w:r>
            <w:r>
              <w:rPr>
                <w:rFonts w:ascii="Arial" w:hAnsi="Arial"/>
                <w:sz w:val="16"/>
              </w:rPr>
              <w:t>4. Solución fisiológica de 1000 cc</w:t>
              <w:br/>
            </w:r>
            <w:r>
              <w:rPr>
                <w:rFonts w:ascii="Arial" w:hAnsi="Arial"/>
                <w:sz w:val="16"/>
              </w:rPr>
              <w:t>5. Ceftazidima 1g IV cada 8 horas (Día 10)</w:t>
              <w:br/>
            </w:r>
            <w:r>
              <w:rPr>
                <w:rFonts w:ascii="Arial" w:hAnsi="Arial"/>
                <w:sz w:val="16"/>
              </w:rPr>
              <w:t>6. Omeprazol 20 mg VO cada 24 horas</w:t>
              <w:br/>
            </w:r>
            <w:r>
              <w:rPr>
                <w:rFonts w:ascii="Arial" w:hAnsi="Arial"/>
                <w:sz w:val="16"/>
              </w:rPr>
              <w:t>7. Pregabalina 150 mg VO cada 24 horas</w:t>
              <w:br/>
            </w:r>
            <w:r>
              <w:rPr>
                <w:rFonts w:ascii="Arial" w:hAnsi="Arial"/>
                <w:sz w:val="16"/>
              </w:rPr>
              <w:t>8. Silimarina 150 mg VO cada 12 horas</w:t>
              <w:br/>
            </w:r>
            <w:r>
              <w:rPr>
                <w:rFonts w:ascii="Arial" w:hAnsi="Arial"/>
                <w:sz w:val="16"/>
              </w:rPr>
              <w:t>9. Rivaroxaban 10 mg VO cada 24 horas</w:t>
              <w:br/>
            </w:r>
            <w:r>
              <w:rPr>
                <w:rFonts w:ascii="Arial" w:hAnsi="Arial"/>
                <w:sz w:val="16"/>
              </w:rPr>
              <w:t>10. Citicolina 5 ml VO cada 24 horas</w:t>
              <w:br/>
            </w:r>
            <w:r>
              <w:rPr>
                <w:rFonts w:ascii="Arial" w:hAnsi="Arial"/>
                <w:sz w:val="16"/>
              </w:rPr>
              <w:t>11. Fisioterapia motora e inspiratoria</w:t>
              <w:br/>
            </w:r>
            <w:r>
              <w:rPr>
                <w:rFonts w:ascii="Arial" w:hAnsi="Arial"/>
                <w:sz w:val="16"/>
              </w:rPr>
              <w:t>12. Comunicar cambios</w:t>
              <w:br/>
            </w:r>
          </w:p>
        </w:tc>
      </w:tr>
    </w:tbl>
    <w:sectPr w:rsidR="00FC693F" w:rsidRPr="0006063C" w:rsidSect="00034616">
      <w:pgSz w:w="12240" w:h="15840"/>
      <w:pgMar w:top="562" w:right="562" w:bottom="562" w:left="5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