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普林格周期判断的因子依据</w:t>
      </w:r>
    </w:p>
    <w:p>
      <w:pPr>
        <w:pStyle w:val="1"/>
        <w:spacing w:before="380" w:after="140" w:line="288" w:lineRule="auto"/>
        <w:ind w:left="0"/>
        <w:jc w:val="left"/>
        <w:outlineLvl w:val="0"/>
      </w:pPr>
      <w:bookmarkStart w:name="heading_0" w:id="0"/>
      <w:r>
        <w:rPr>
          <w:rFonts w:eastAsia="等线" w:ascii="Arial" w:cs="Arial" w:hAnsi="Arial"/>
          <w:b w:val="true"/>
          <w:sz w:val="36"/>
        </w:rPr>
        <w:t>宏观因子在普林格中发挥的作用</w:t>
      </w:r>
      <w:bookmarkEnd w:id="0"/>
    </w:p>
    <w:p>
      <w:pPr>
        <w:spacing w:before="120" w:after="120" w:line="288" w:lineRule="auto"/>
        <w:ind w:left="0"/>
        <w:jc w:val="left"/>
      </w:pPr>
      <w:r>
        <w:rPr>
          <w:rFonts w:eastAsia="等线" w:ascii="Arial" w:cs="Arial" w:hAnsi="Arial"/>
          <w:sz w:val="22"/>
        </w:rPr>
        <w:t>在普林格周期6个阶段的判断中，我们用了三个宏观因子来定位当前所处的周期位置：</w:t>
      </w:r>
    </w:p>
    <w:p>
      <w:pPr>
        <w:numPr>
          <w:numId w:val="1"/>
        </w:numPr>
        <w:spacing w:before="120" w:after="120" w:line="288" w:lineRule="auto"/>
        <w:ind w:left="0"/>
        <w:jc w:val="left"/>
      </w:pPr>
      <w:r>
        <w:rPr>
          <w:rFonts w:eastAsia="等线" w:ascii="Arial" w:cs="Arial" w:hAnsi="Arial"/>
          <w:b w:val="true"/>
          <w:sz w:val="22"/>
        </w:rPr>
        <w:t>增长因子 (Growth)</w:t>
      </w:r>
      <w:r>
        <w:rPr>
          <w:rFonts w:eastAsia="等线" w:ascii="Arial" w:cs="Arial" w:hAnsi="Arial"/>
          <w:sz w:val="22"/>
        </w:rPr>
        <w:t xml:space="preserve">：代表经济的扩张或收缩。  </w:t>
      </w:r>
    </w:p>
    <w:p>
      <w:pPr>
        <w:numPr>
          <w:numId w:val="2"/>
        </w:numPr>
        <w:spacing w:before="120" w:after="120" w:line="288" w:lineRule="auto"/>
        <w:ind w:left="0"/>
        <w:jc w:val="left"/>
      </w:pPr>
      <w:r>
        <w:rPr>
          <w:rFonts w:eastAsia="等线" w:ascii="Arial" w:cs="Arial" w:hAnsi="Arial"/>
          <w:b w:val="true"/>
          <w:sz w:val="22"/>
        </w:rPr>
        <w:t>通胀因子 (Inflation)</w:t>
      </w:r>
      <w:r>
        <w:rPr>
          <w:rFonts w:eastAsia="等线" w:ascii="Arial" w:cs="Arial" w:hAnsi="Arial"/>
          <w:sz w:val="22"/>
        </w:rPr>
        <w:t xml:space="preserve">：代表物价的涨跌。  </w:t>
      </w:r>
    </w:p>
    <w:p>
      <w:pPr>
        <w:numPr>
          <w:numId w:val="3"/>
        </w:numPr>
        <w:spacing w:before="120" w:after="120" w:line="288" w:lineRule="auto"/>
        <w:ind w:left="0"/>
        <w:jc w:val="left"/>
      </w:pPr>
      <w:r>
        <w:rPr>
          <w:rFonts w:eastAsia="等线" w:ascii="Arial" w:cs="Arial" w:hAnsi="Arial"/>
          <w:b w:val="true"/>
          <w:sz w:val="22"/>
        </w:rPr>
        <w:t>货币因子 (Monetary)</w:t>
      </w:r>
      <w:r>
        <w:rPr>
          <w:rFonts w:eastAsia="等线" w:ascii="Arial" w:cs="Arial" w:hAnsi="Arial"/>
          <w:sz w:val="22"/>
        </w:rPr>
        <w:t xml:space="preserve">：代表利率环境的宽松（下行）或紧缩（上行）。  </w:t>
      </w:r>
    </w:p>
    <w:p>
      <w:pPr>
        <w:spacing w:before="120" w:after="120" w:line="288" w:lineRule="auto"/>
        <w:ind w:left="0"/>
        <w:jc w:val="left"/>
      </w:pPr>
      <w:r>
        <w:rPr>
          <w:rFonts w:eastAsia="等线" w:ascii="Arial" w:cs="Arial" w:hAnsi="Arial"/>
          <w:sz w:val="22"/>
        </w:rPr>
        <w:t>因子的状态直接决定我们的重仓资产：</w:t>
      </w:r>
    </w:p>
    <w:p>
      <w:pPr>
        <w:numPr>
          <w:numId w:val="4"/>
        </w:numPr>
        <w:spacing w:before="120" w:after="120" w:line="288" w:lineRule="auto"/>
        <w:ind w:left="0"/>
        <w:jc w:val="left"/>
      </w:pPr>
      <w:r>
        <w:rPr>
          <w:rFonts w:eastAsia="等线" w:ascii="Arial" w:cs="Arial" w:hAnsi="Arial"/>
          <w:sz w:val="22"/>
        </w:rPr>
        <w:t>Stage 1（经济下行、通胀回落、货币宽松启动，G≤0、I≤0、M≤0）：重仓可转债资产</w:t>
      </w:r>
    </w:p>
    <w:p>
      <w:pPr>
        <w:numPr>
          <w:numId w:val="5"/>
        </w:numPr>
        <w:spacing w:before="120" w:after="120" w:line="288" w:lineRule="auto"/>
        <w:ind w:left="0"/>
        <w:jc w:val="left"/>
      </w:pPr>
      <w:r>
        <w:rPr>
          <w:rFonts w:eastAsia="等线" w:ascii="Arial" w:cs="Arial" w:hAnsi="Arial"/>
          <w:sz w:val="22"/>
        </w:rPr>
        <w:t>Stage 2（经济上行、通胀回落、货币宽松延续，G&gt;0、I≤0、M≤0）：重仓股票类资产</w:t>
      </w:r>
    </w:p>
    <w:p>
      <w:pPr>
        <w:numPr>
          <w:numId w:val="6"/>
        </w:numPr>
        <w:spacing w:before="120" w:after="120" w:line="288" w:lineRule="auto"/>
        <w:ind w:left="0"/>
        <w:jc w:val="left"/>
      </w:pPr>
      <w:r>
        <w:rPr>
          <w:rFonts w:eastAsia="等线" w:ascii="Arial" w:cs="Arial" w:hAnsi="Arial"/>
          <w:sz w:val="22"/>
        </w:rPr>
        <w:t>Stage 3（经济上行、通胀抬升、货币宽松末期，G&gt;0、I&gt;0、M≤0）：重仓股票类资产</w:t>
      </w:r>
    </w:p>
    <w:p>
      <w:pPr>
        <w:numPr>
          <w:numId w:val="7"/>
        </w:numPr>
        <w:spacing w:before="120" w:after="120" w:line="288" w:lineRule="auto"/>
        <w:ind w:left="0"/>
        <w:jc w:val="left"/>
      </w:pPr>
      <w:r>
        <w:rPr>
          <w:rFonts w:eastAsia="等线" w:ascii="Arial" w:cs="Arial" w:hAnsi="Arial"/>
          <w:sz w:val="22"/>
        </w:rPr>
        <w:t>Stage 4（经济上行、通胀抬升、货币紧缩启动，G&gt;0、I&gt;0、M&gt;0）：重仓商品类资产</w:t>
      </w:r>
    </w:p>
    <w:p>
      <w:pPr>
        <w:numPr>
          <w:numId w:val="8"/>
        </w:numPr>
        <w:spacing w:before="120" w:after="120" w:line="288" w:lineRule="auto"/>
        <w:ind w:left="0"/>
        <w:jc w:val="left"/>
      </w:pPr>
      <w:r>
        <w:rPr>
          <w:rFonts w:eastAsia="等线" w:ascii="Arial" w:cs="Arial" w:hAnsi="Arial"/>
          <w:sz w:val="22"/>
        </w:rPr>
        <w:t>Stage 5（经济下行、通胀抬升、货币紧缩延续，G≤0、I&gt;0、M&gt;0）：重仓可转债资产</w:t>
      </w:r>
    </w:p>
    <w:p>
      <w:pPr>
        <w:numPr>
          <w:numId w:val="9"/>
        </w:numPr>
        <w:spacing w:before="120" w:after="120" w:line="288" w:lineRule="auto"/>
        <w:ind w:left="0"/>
        <w:jc w:val="left"/>
      </w:pPr>
      <w:r>
        <w:rPr>
          <w:rFonts w:eastAsia="等线" w:ascii="Arial" w:cs="Arial" w:hAnsi="Arial"/>
          <w:sz w:val="22"/>
        </w:rPr>
        <w:t>Stage 6（经济下行、通胀回落、货币紧缩末期，G≤0、I≤0、M&gt;0）：重仓可转债资产</w:t>
      </w:r>
    </w:p>
    <w:p>
      <w:pPr>
        <w:spacing w:before="120" w:after="120" w:line="288" w:lineRule="auto"/>
        <w:ind w:left="0"/>
        <w:jc w:val="left"/>
      </w:pPr>
      <w:r>
        <w:rPr>
          <w:rFonts w:eastAsia="等线" w:ascii="Arial" w:cs="Arial" w:hAnsi="Arial"/>
          <w:sz w:val="22"/>
        </w:rPr>
        <w:t xml:space="preserve">注：M代表利率方向，所以 </w:t>
      </w:r>
      <w:r>
        <w:rPr>
          <w:rFonts w:eastAsia="Consolas" w:ascii="Consolas" w:cs="Consolas" w:hAnsi="Consolas"/>
          <w:sz w:val="22"/>
          <w:shd w:fill="EFF0F1"/>
        </w:rPr>
        <w:t>m &lt;= 0</w:t>
      </w:r>
      <w:r>
        <w:rPr>
          <w:rFonts w:eastAsia="等线" w:ascii="Arial" w:cs="Arial" w:hAnsi="Arial"/>
          <w:sz w:val="22"/>
        </w:rPr>
        <w:t xml:space="preserve"> 代表宽松，</w:t>
      </w:r>
      <w:r>
        <w:rPr>
          <w:rFonts w:eastAsia="Consolas" w:ascii="Consolas" w:cs="Consolas" w:hAnsi="Consolas"/>
          <w:sz w:val="22"/>
          <w:shd w:fill="EFF0F1"/>
        </w:rPr>
        <w:t>m &gt; 0</w:t>
      </w:r>
      <w:r>
        <w:rPr>
          <w:rFonts w:eastAsia="等线" w:ascii="Arial" w:cs="Arial" w:hAnsi="Arial"/>
          <w:sz w:val="22"/>
        </w:rPr>
        <w:t xml:space="preserve"> 代表紧缩。</w:t>
      </w:r>
    </w:p>
    <w:p>
      <w:pPr>
        <w:pStyle w:val="1"/>
        <w:spacing w:before="380" w:after="140" w:line="288" w:lineRule="auto"/>
        <w:ind w:left="0"/>
        <w:jc w:val="left"/>
        <w:outlineLvl w:val="0"/>
      </w:pPr>
      <w:bookmarkStart w:name="heading_1" w:id="1"/>
      <w:r>
        <w:rPr>
          <w:rFonts w:eastAsia="等线" w:ascii="Arial" w:cs="Arial" w:hAnsi="Arial"/>
          <w:b w:val="true"/>
          <w:sz w:val="36"/>
        </w:rPr>
        <w:t>统一进行的技术处理</w:t>
      </w:r>
      <w:bookmarkEnd w:id="1"/>
    </w:p>
    <w:p>
      <w:pPr>
        <w:spacing w:before="120" w:after="120" w:line="288" w:lineRule="auto"/>
        <w:ind w:left="0"/>
        <w:jc w:val="left"/>
      </w:pPr>
      <w:r>
        <w:rPr>
          <w:rFonts w:eastAsia="等线" w:ascii="Arial" w:cs="Arial" w:hAnsi="Arial"/>
          <w:sz w:val="22"/>
        </w:rPr>
        <w:t>虽然增长因子、通胀因子和货币因子的底层指标不同，但三者在构建时遵循一致的技术原则。</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数据清洗</w:t>
      </w:r>
      <w:bookmarkEnd w:id="2"/>
    </w:p>
    <w:p>
      <w:pPr>
        <w:spacing w:before="120" w:after="120" w:line="288" w:lineRule="auto"/>
        <w:ind w:left="0"/>
        <w:jc w:val="left"/>
      </w:pPr>
      <w:r>
        <w:rPr>
          <w:rFonts w:eastAsia="等线" w:ascii="Arial" w:cs="Arial" w:hAnsi="Arial"/>
          <w:sz w:val="22"/>
        </w:rPr>
        <w:t>模型首先对原始宏观数据进行清洗，包括日期格式统一、数值格式转换、无效行删除、缺失值处理等。对于部分带有 Wind 元数据行的表格，例如“频率”“单位”“指标ID”“来源”等说明性内容，模型会在读取时自动剔除。</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历史样本长度约束</w:t>
      </w:r>
      <w:bookmarkEnd w:id="3"/>
    </w:p>
    <w:p>
      <w:pPr>
        <w:spacing w:before="120" w:after="120" w:line="288" w:lineRule="auto"/>
        <w:ind w:left="0"/>
        <w:jc w:val="left"/>
      </w:pPr>
      <w:r>
        <w:rPr>
          <w:rFonts w:eastAsia="等线" w:ascii="Arial" w:cs="Arial" w:hAnsi="Arial"/>
          <w:sz w:val="22"/>
        </w:rPr>
        <w:t xml:space="preserve">增长因子和通胀因子均要求候选指标至少拥有约 180 个月的有效历史样本。该设计主要是为了保证指标具有足够长的历史统计基础，避免短样本指标在相关性筛选和标准化过程中产生不稳定影响。增长因子和通胀因子的代码中均设置了 </w:t>
      </w:r>
      <w:r>
        <w:rPr>
          <w:rFonts w:eastAsia="Consolas" w:ascii="Consolas" w:cs="Consolas" w:hAnsi="Consolas"/>
          <w:sz w:val="22"/>
          <w:shd w:fill="EFF0F1"/>
        </w:rPr>
        <w:t>MIN_VALID_MONTHS = 180</w:t>
      </w:r>
      <w:r>
        <w:rPr>
          <w:rFonts w:eastAsia="等线" w:ascii="Arial" w:cs="Arial" w:hAnsi="Arial"/>
          <w:sz w:val="22"/>
        </w:rPr>
        <w:t xml:space="preserve"> 的门槛。</w:t>
      </w:r>
    </w:p>
    <w:p>
      <w:pPr>
        <w:spacing w:before="120" w:after="120" w:line="288" w:lineRule="auto"/>
        <w:ind w:left="0"/>
        <w:jc w:val="left"/>
      </w:pPr>
      <w:r>
        <w:rPr>
          <w:rFonts w:eastAsia="等线" w:ascii="Arial" w:cs="Arial" w:hAnsi="Arial"/>
          <w:sz w:val="22"/>
        </w:rPr>
        <w:t>货币因子同样设置了 180 个月的样本长度检查，用于提示基础利率序列的历史长度是否充足。</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 </w:t>
      </w:r>
      <w:r>
        <w:rPr>
          <w:rFonts w:eastAsia="等线" w:ascii="Arial" w:cs="Arial" w:hAnsi="Arial"/>
          <w:b w:val="true"/>
          <w:sz w:val="32"/>
        </w:rPr>
        <w:t>单边滚动处理，避免未来函数</w:t>
      </w:r>
      <w:bookmarkEnd w:id="4"/>
    </w:p>
    <w:p>
      <w:pPr>
        <w:spacing w:before="120" w:after="120" w:line="288" w:lineRule="auto"/>
        <w:ind w:left="0"/>
        <w:jc w:val="left"/>
      </w:pPr>
      <w:r>
        <w:rPr>
          <w:rFonts w:eastAsia="等线" w:ascii="Arial" w:cs="Arial" w:hAnsi="Arial"/>
          <w:sz w:val="22"/>
        </w:rPr>
        <w:t>三类因子均强调实盘可用性，因此均采用单边滚动处理方式。也就是说，在计算任意历史时点的因子值时，模型只使用该时点及之前已经能够观察到的数据，不使用未来数据。</w:t>
      </w:r>
    </w:p>
    <w:p>
      <w:pPr>
        <w:spacing w:before="120" w:after="120" w:line="288" w:lineRule="auto"/>
        <w:ind w:left="0"/>
        <w:jc w:val="left"/>
      </w:pPr>
      <w:r>
        <w:rPr>
          <w:rFonts w:eastAsia="等线" w:ascii="Arial" w:cs="Arial" w:hAnsi="Arial"/>
          <w:sz w:val="22"/>
        </w:rPr>
        <w:t>这一设计非常重要。传统全样本滤波在计算历史周期项时会使用未来信息，容易造成回测信号过于理想化。本模型使用单边处理方式，使历史因子更接近真实投资决策时能够获得的信号。</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4. </w:t>
      </w:r>
      <w:r>
        <w:rPr>
          <w:rFonts w:eastAsia="等线" w:ascii="Arial" w:cs="Arial" w:hAnsi="Arial"/>
          <w:b w:val="true"/>
          <w:sz w:val="32"/>
        </w:rPr>
        <w:t>周期提取</w:t>
      </w:r>
      <w:bookmarkEnd w:id="5"/>
    </w:p>
    <w:p>
      <w:pPr>
        <w:spacing w:before="120" w:after="120" w:line="288" w:lineRule="auto"/>
        <w:ind w:left="0"/>
        <w:jc w:val="left"/>
      </w:pPr>
      <w:r>
        <w:rPr>
          <w:rFonts w:eastAsia="等线" w:ascii="Arial" w:cs="Arial" w:hAnsi="Arial"/>
          <w:sz w:val="22"/>
        </w:rPr>
        <w:t>增长因子和通胀因子均使用 STL 分解与 HP 滤波提取周期项。STL 分解用于剥离月度数据中的季节性波动，HP 滤波用于从趋势—周期成分中进一步提取短中期周期波动。两类因子的 HP 滤波参数均设定为 14400。</w:t>
      </w:r>
    </w:p>
    <w:p>
      <w:pPr>
        <w:spacing w:before="120" w:after="120" w:line="288" w:lineRule="auto"/>
        <w:ind w:left="0"/>
        <w:jc w:val="left"/>
      </w:pPr>
      <w:r>
        <w:rPr>
          <w:rFonts w:eastAsia="等线" w:ascii="Arial" w:cs="Arial" w:hAnsi="Arial"/>
          <w:sz w:val="22"/>
        </w:rPr>
        <w:t>货币因子由于基础变量为短端利率，不再进行 STL 季节分解，而是直接对 1 年期国债收益率进行单边 HP 滤波，提取利率相对于长期趋势的周期偏离。</w:t>
      </w:r>
    </w:p>
    <w:p>
      <w:pPr>
        <w:pStyle w:val="1"/>
        <w:spacing w:before="380" w:after="140" w:line="288" w:lineRule="auto"/>
        <w:ind w:left="0"/>
        <w:jc w:val="left"/>
        <w:outlineLvl w:val="0"/>
      </w:pPr>
      <w:bookmarkStart w:name="heading_6" w:id="6"/>
      <w:r>
        <w:rPr>
          <w:rFonts w:eastAsia="等线" w:ascii="Arial" w:cs="Arial" w:hAnsi="Arial"/>
          <w:b w:val="true"/>
          <w:sz w:val="36"/>
        </w:rPr>
        <w:t>增长因子合成方法</w:t>
      </w:r>
      <w:bookmarkEnd w:id="6"/>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1. </w:t>
      </w:r>
      <w:r>
        <w:rPr>
          <w:rFonts w:eastAsia="等线" w:ascii="Arial" w:cs="Arial" w:hAnsi="Arial"/>
          <w:b w:val="true"/>
          <w:sz w:val="32"/>
        </w:rPr>
        <w:t>增长因子的定位</w:t>
      </w:r>
      <w:bookmarkEnd w:id="7"/>
    </w:p>
    <w:p>
      <w:pPr>
        <w:spacing w:before="120" w:after="120" w:line="288" w:lineRule="auto"/>
        <w:ind w:left="0"/>
        <w:jc w:val="left"/>
      </w:pPr>
      <w:r>
        <w:rPr>
          <w:rFonts w:eastAsia="等线" w:ascii="Arial" w:cs="Arial" w:hAnsi="Arial"/>
          <w:sz w:val="22"/>
        </w:rPr>
        <w:t>增长因子用于刻画经济增长动能的周期性变化。它并不是简单复刻某一个经济指标，而是从多项实体经济指标中提取能够同步或领先反映制造业景气变化的共同信号。</w:t>
      </w:r>
    </w:p>
    <w:p>
      <w:pPr>
        <w:spacing w:before="120" w:after="120" w:line="288" w:lineRule="auto"/>
        <w:ind w:left="0"/>
        <w:jc w:val="left"/>
      </w:pPr>
      <w:r>
        <w:rPr>
          <w:rFonts w:eastAsia="等线" w:ascii="Arial" w:cs="Arial" w:hAnsi="Arial"/>
          <w:sz w:val="22"/>
        </w:rPr>
        <w:t>模型以制造业 PMI 作为增长周期的基准锚。PMI 具有发布频率稳定、市场关注度高、能够较快反映企业生产经营景气变化等特点，因此适合作为经济增长周期的参照指标。</w:t>
      </w:r>
    </w:p>
    <w:p>
      <w:pPr>
        <w:spacing w:before="120" w:after="120" w:line="288" w:lineRule="auto"/>
        <w:ind w:left="0"/>
        <w:jc w:val="left"/>
      </w:pPr>
      <w:r>
        <w:rPr>
          <w:rFonts w:eastAsia="等线" w:ascii="Arial" w:cs="Arial" w:hAnsi="Arial"/>
          <w:sz w:val="22"/>
        </w:rPr>
        <w:t>增长因子的核心目标是识别经济动能处于改善还是走弱状态，并进一步服务于宏观阶段划分。</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 </w:t>
      </w:r>
      <w:r>
        <w:rPr>
          <w:rFonts w:eastAsia="等线" w:ascii="Arial" w:cs="Arial" w:hAnsi="Arial"/>
          <w:b w:val="true"/>
          <w:sz w:val="32"/>
        </w:rPr>
        <w:t>增长因子的原始指标池</w:t>
      </w:r>
      <w:bookmarkEnd w:id="8"/>
    </w:p>
    <w:p>
      <w:pPr>
        <w:spacing w:before="120" w:after="120" w:line="288" w:lineRule="auto"/>
        <w:ind w:left="0"/>
        <w:jc w:val="left"/>
      </w:pPr>
      <w:r>
        <w:rPr>
          <w:rFonts w:eastAsia="等线" w:ascii="Arial" w:cs="Arial" w:hAnsi="Arial"/>
          <w:sz w:val="22"/>
        </w:rPr>
        <w:t>增长因子的原始指标池主要覆盖实体经济活动，包括：</w:t>
      </w:r>
    </w:p>
    <w:p>
      <w:pPr>
        <w:spacing w:before="120" w:after="120" w:line="288" w:lineRule="auto"/>
        <w:ind w:left="0"/>
        <w:jc w:val="left"/>
      </w:pPr>
      <w:r>
        <w:rPr>
          <w:rFonts w:eastAsia="等线" w:ascii="Arial" w:cs="Arial" w:hAnsi="Arial"/>
          <w:sz w:val="22"/>
        </w:rPr>
        <w:t>工业生产类指标，例如工业增加值、发电量、汽车产量、挖掘机产量、乙烯产量等。</w:t>
      </w:r>
    </w:p>
    <w:p>
      <w:pPr>
        <w:spacing w:before="120" w:after="120" w:line="288" w:lineRule="auto"/>
        <w:ind w:left="0"/>
        <w:jc w:val="left"/>
      </w:pPr>
      <w:r>
        <w:rPr>
          <w:rFonts w:eastAsia="等线" w:ascii="Arial" w:cs="Arial" w:hAnsi="Arial"/>
          <w:sz w:val="22"/>
        </w:rPr>
        <w:t>投资与基建类指标，例如基础设施建设投资、房地产建筑工程投资等。</w:t>
      </w:r>
    </w:p>
    <w:p>
      <w:pPr>
        <w:spacing w:before="120" w:after="120" w:line="288" w:lineRule="auto"/>
        <w:ind w:left="0"/>
        <w:jc w:val="left"/>
      </w:pPr>
      <w:r>
        <w:rPr>
          <w:rFonts w:eastAsia="等线" w:ascii="Arial" w:cs="Arial" w:hAnsi="Arial"/>
          <w:sz w:val="22"/>
        </w:rPr>
        <w:t>交通与物流类指标，例如港口货物吞吐量、公路货物周转量、铁路货运量等。</w:t>
      </w:r>
    </w:p>
    <w:p>
      <w:pPr>
        <w:spacing w:before="120" w:after="120" w:line="288" w:lineRule="auto"/>
        <w:ind w:left="0"/>
        <w:jc w:val="left"/>
      </w:pPr>
      <w:r>
        <w:rPr>
          <w:rFonts w:eastAsia="等线" w:ascii="Arial" w:cs="Arial" w:hAnsi="Arial"/>
          <w:sz w:val="22"/>
        </w:rPr>
        <w:t>外需与贸易类指标，例如进出口总值等。</w:t>
      </w:r>
    </w:p>
    <w:p>
      <w:pPr>
        <w:spacing w:before="120" w:after="120" w:line="288" w:lineRule="auto"/>
        <w:ind w:left="0"/>
        <w:jc w:val="left"/>
      </w:pPr>
      <w:r>
        <w:rPr>
          <w:rFonts w:eastAsia="等线" w:ascii="Arial" w:cs="Arial" w:hAnsi="Arial"/>
          <w:sz w:val="22"/>
        </w:rPr>
        <w:t>这些指标共同反映生产、投资、施工、物流和外需等多个维度的经济活动，有助于降低单一指标异常波动对宏观判断造成的干扰。</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3. </w:t>
      </w:r>
      <w:r>
        <w:rPr>
          <w:rFonts w:eastAsia="等线" w:ascii="Arial" w:cs="Arial" w:hAnsi="Arial"/>
          <w:b w:val="true"/>
          <w:sz w:val="32"/>
        </w:rPr>
        <w:t>增长因子的预处理方法</w:t>
      </w:r>
      <w:bookmarkEnd w:id="9"/>
    </w:p>
    <w:p>
      <w:pPr>
        <w:spacing w:before="120" w:after="120" w:line="288" w:lineRule="auto"/>
        <w:ind w:left="0"/>
        <w:jc w:val="left"/>
      </w:pPr>
      <w:r>
        <w:rPr>
          <w:rFonts w:eastAsia="等线" w:ascii="Arial" w:cs="Arial" w:hAnsi="Arial"/>
          <w:sz w:val="22"/>
        </w:rPr>
        <w:t>在增长数据中，部分指标以“累计值”的形式发布。累计值通常存在跨年重置问题，若直接用于周期提取，容易产生人为断点。</w:t>
      </w:r>
    </w:p>
    <w:p>
      <w:pPr>
        <w:spacing w:before="120" w:after="120" w:line="288" w:lineRule="auto"/>
        <w:ind w:left="0"/>
        <w:jc w:val="left"/>
      </w:pPr>
      <w:r>
        <w:rPr>
          <w:rFonts w:eastAsia="等线" w:ascii="Arial" w:cs="Arial" w:hAnsi="Arial"/>
          <w:sz w:val="22"/>
        </w:rPr>
        <w:t>因此，模型会先将累计指标转换为当月值。对于普通月份，使用本月累计值减去上月累计值；当检测到跨年重置时，直接使用当前月份累计值作为当月值。这样可以尽量还原每个月真实发生的经济活动量。</w:t>
      </w:r>
    </w:p>
    <w:p>
      <w:pPr>
        <w:spacing w:before="120" w:after="120" w:line="288" w:lineRule="auto"/>
        <w:ind w:left="0"/>
        <w:jc w:val="left"/>
      </w:pPr>
      <w:r>
        <w:rPr>
          <w:rFonts w:eastAsia="等线" w:ascii="Arial" w:cs="Arial" w:hAnsi="Arial"/>
          <w:sz w:val="22"/>
        </w:rPr>
        <w:t>完成预处理后，所有增长指标都被统一为更适合横向比较和周期提取的月度口径。</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 </w:t>
      </w:r>
      <w:r>
        <w:rPr>
          <w:rFonts w:eastAsia="等线" w:ascii="Arial" w:cs="Arial" w:hAnsi="Arial"/>
          <w:b w:val="true"/>
          <w:sz w:val="32"/>
        </w:rPr>
        <w:t>增长因子的周期提取与筛选</w:t>
      </w:r>
      <w:bookmarkEnd w:id="10"/>
    </w:p>
    <w:p>
      <w:pPr>
        <w:spacing w:before="120" w:after="120" w:line="288" w:lineRule="auto"/>
        <w:ind w:left="0"/>
        <w:jc w:val="left"/>
      </w:pPr>
      <w:r>
        <w:rPr>
          <w:rFonts w:eastAsia="等线" w:ascii="Arial" w:cs="Arial" w:hAnsi="Arial"/>
          <w:sz w:val="22"/>
        </w:rPr>
        <w:t>模型对每个增长类指标进行单边 STL 分解和 HP 滤波，提取其周期项。对于任意月份，模型只使用该月及以前的数据进行滤波，避免未来函数。</w:t>
      </w:r>
    </w:p>
    <w:p>
      <w:pPr>
        <w:spacing w:before="120" w:after="120" w:line="288" w:lineRule="auto"/>
        <w:ind w:left="0"/>
        <w:jc w:val="left"/>
      </w:pPr>
      <w:r>
        <w:rPr>
          <w:rFonts w:eastAsia="等线" w:ascii="Arial" w:cs="Arial" w:hAnsi="Arial"/>
          <w:sz w:val="22"/>
        </w:rPr>
        <w:t>随后，模型将每个候选指标的周期项与 PMI 周期项进行领先滞后相关性检验。检验窗口为 0 至 12 个月。也就是说，模型会判断每个指标是否能够同步或提前反映 PMI 所代表的增长周期。</w:t>
      </w:r>
    </w:p>
    <w:p>
      <w:pPr>
        <w:spacing w:before="120" w:after="120" w:line="288" w:lineRule="auto"/>
        <w:ind w:left="0"/>
        <w:jc w:val="left"/>
      </w:pPr>
      <w:r>
        <w:rPr>
          <w:rFonts w:eastAsia="等线" w:ascii="Arial" w:cs="Arial" w:hAnsi="Arial"/>
          <w:sz w:val="22"/>
        </w:rPr>
        <w:t>筛选规则为：保留与 PMI 周期项正相关且相关性超过 0.25 的指标。最终选择相关性最高的前 5 个指标作为增长因子的底层成分。</w:t>
      </w:r>
    </w:p>
    <w:p>
      <w:pPr>
        <w:spacing w:before="120" w:after="120" w:line="288" w:lineRule="auto"/>
        <w:ind w:left="0"/>
        <w:jc w:val="left"/>
      </w:pPr>
      <w:r>
        <w:rPr>
          <w:rFonts w:eastAsia="等线" w:ascii="Arial" w:cs="Arial" w:hAnsi="Arial"/>
          <w:sz w:val="22"/>
        </w:rPr>
        <w:t>根据当前模型逻辑，增长因子的代表性入选指标包括：</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5. </w:t>
      </w:r>
      <w:r>
        <w:rPr>
          <w:rFonts w:eastAsia="等线" w:ascii="Arial" w:cs="Arial" w:hAnsi="Arial"/>
          <w:b w:val="true"/>
          <w:sz w:val="32"/>
        </w:rPr>
        <w:t>增长因子的合成方式</w:t>
      </w:r>
      <w:bookmarkEnd w:id="11"/>
    </w:p>
    <w:p>
      <w:pPr>
        <w:spacing w:before="120" w:after="120" w:line="288" w:lineRule="auto"/>
        <w:ind w:left="0"/>
        <w:jc w:val="left"/>
      </w:pPr>
      <w:r>
        <w:rPr>
          <w:rFonts w:eastAsia="等线" w:ascii="Arial" w:cs="Arial" w:hAnsi="Arial"/>
          <w:sz w:val="22"/>
        </w:rPr>
        <w:t>入选指标的周期项不能直接相加，因为不同指标量纲和波动幅度不同。因此，模型先对每个指标进行滚动标准化。</w:t>
      </w:r>
    </w:p>
    <w:p>
      <w:pPr>
        <w:spacing w:before="120" w:after="120" w:line="288" w:lineRule="auto"/>
        <w:ind w:left="0"/>
        <w:jc w:val="left"/>
      </w:pPr>
      <w:r>
        <w:rPr>
          <w:rFonts w:eastAsia="等线" w:ascii="Arial" w:cs="Arial" w:hAnsi="Arial"/>
          <w:sz w:val="22"/>
        </w:rPr>
        <w:t>具体方法是使用过去 36 个月的滚动均值和滚动标准差计算 Z-Score，并要求至少有 24 个月有效样本后才开始计算。标准化后的数值表示该指标当前周期水平相对于自身过去三年历史状态的偏离程度。</w:t>
      </w:r>
    </w:p>
    <w:p>
      <w:pPr>
        <w:spacing w:before="120" w:after="120" w:line="288" w:lineRule="auto"/>
        <w:ind w:left="0"/>
        <w:jc w:val="left"/>
      </w:pPr>
      <w:r>
        <w:rPr>
          <w:rFonts w:eastAsia="等线" w:ascii="Arial" w:cs="Arial" w:hAnsi="Arial"/>
          <w:sz w:val="22"/>
        </w:rPr>
        <w:t>随后，模型对前 5 个指标的滚动 Z-Score 进行等权平均，并进行 3 个月滚动平滑，得到最终增长因子。</w:t>
      </w:r>
    </w:p>
    <w:p>
      <w:pPr>
        <w:spacing w:before="120" w:after="120" w:line="288" w:lineRule="auto"/>
        <w:ind w:left="0"/>
        <w:jc w:val="left"/>
      </w:pPr>
      <w:r>
        <w:rPr>
          <w:rFonts w:eastAsia="等线" w:ascii="Arial" w:cs="Arial" w:hAnsi="Arial"/>
          <w:sz w:val="22"/>
        </w:rPr>
        <w:t>增长因子的合成路径可以概括为：</w:t>
      </w:r>
    </w:p>
    <w:p>
      <w:pPr>
        <w:spacing w:before="120" w:after="120" w:line="288" w:lineRule="auto"/>
        <w:ind w:left="0"/>
        <w:jc w:val="left"/>
      </w:pPr>
      <w:r>
        <w:rPr>
          <w:rFonts w:eastAsia="等线" w:ascii="Arial" w:cs="Arial" w:hAnsi="Arial"/>
          <w:b w:val="true"/>
          <w:sz w:val="22"/>
        </w:rPr>
        <w:t>原始增长指标 → 数据清洗 → 累计值转当月值 → 单边 STL 去季节 → HP 滤波提取周期项 → 与 PMI 做领先相关性筛选 → 前 5 个指标滚动 Z-Score → 等权平均 → 3 个月平滑 → 增长因子。</w:t>
      </w:r>
    </w:p>
    <w:p>
      <w:pPr>
        <w:spacing w:before="120" w:after="120" w:line="288" w:lineRule="auto"/>
        <w:ind w:left="0"/>
        <w:jc w:val="center"/>
      </w:pPr>
      <w:r>
        <w:drawing>
          <wp:inline distT="0" distR="0" distB="0" distL="0">
            <wp:extent cx="5257800" cy="44481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5257800" cy="4448175"/>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6. </w:t>
      </w:r>
      <w:r>
        <w:rPr>
          <w:rFonts w:eastAsia="等线" w:ascii="Arial" w:cs="Arial" w:hAnsi="Arial"/>
          <w:b w:val="true"/>
          <w:sz w:val="32"/>
        </w:rPr>
        <w:t>增长因子的投资含义</w:t>
      </w:r>
      <w:bookmarkEnd w:id="12"/>
    </w:p>
    <w:p>
      <w:pPr>
        <w:spacing w:before="120" w:after="120" w:line="288" w:lineRule="auto"/>
        <w:ind w:left="0"/>
        <w:jc w:val="left"/>
      </w:pPr>
      <w:r>
        <w:rPr>
          <w:rFonts w:eastAsia="等线" w:ascii="Arial" w:cs="Arial" w:hAnsi="Arial"/>
          <w:sz w:val="22"/>
        </w:rPr>
        <w:t>增长因子大于 0，通常说明实体经济动能高于近期历史均衡水平，增长环境偏强。</w:t>
      </w:r>
    </w:p>
    <w:p>
      <w:pPr>
        <w:spacing w:before="120" w:after="120" w:line="288" w:lineRule="auto"/>
        <w:ind w:left="0"/>
        <w:jc w:val="left"/>
      </w:pPr>
      <w:r>
        <w:rPr>
          <w:rFonts w:eastAsia="等线" w:ascii="Arial" w:cs="Arial" w:hAnsi="Arial"/>
          <w:sz w:val="22"/>
        </w:rPr>
        <w:t>增长因子小于 0，通常说明实体经济动能低于近期历史均衡水平，增长环境偏弱。</w:t>
      </w:r>
    </w:p>
    <w:p>
      <w:pPr>
        <w:spacing w:before="120" w:after="120" w:line="288" w:lineRule="auto"/>
        <w:ind w:left="0"/>
        <w:jc w:val="left"/>
      </w:pPr>
      <w:r>
        <w:rPr>
          <w:rFonts w:eastAsia="等线" w:ascii="Arial" w:cs="Arial" w:hAnsi="Arial"/>
          <w:sz w:val="22"/>
        </w:rPr>
        <w:t>除了水平高低，因子的边际方向同样重要。根据增长因子水平和斜率，可以划分为四类状态：</w:t>
      </w:r>
    </w:p>
    <w:p>
      <w:pPr>
        <w:spacing w:before="120" w:after="120" w:line="288" w:lineRule="auto"/>
        <w:ind w:left="0"/>
      </w:pPr>
      <w:r>
        <w:object>
          <v:shape id="_x0000_i1026" style="width:414pt;height:141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在资产配置中，增长因子上行通常对股票类资产和可转债更友好；增长因子下行时，组合需要更加关注防御性资产和政策对冲信号。</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3" w:id="13"/>
      <w:r>
        <w:rPr>
          <w:rFonts w:eastAsia="等线" w:ascii="Arial" w:cs="Arial" w:hAnsi="Arial"/>
          <w:b w:val="true"/>
          <w:sz w:val="36"/>
        </w:rPr>
        <w:t>通胀因子合成方法</w:t>
      </w:r>
      <w:bookmarkEnd w:id="13"/>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1. </w:t>
      </w:r>
      <w:r>
        <w:rPr>
          <w:rFonts w:eastAsia="等线" w:ascii="Arial" w:cs="Arial" w:hAnsi="Arial"/>
          <w:b w:val="true"/>
          <w:sz w:val="32"/>
        </w:rPr>
        <w:t>通胀因子的定位</w:t>
      </w:r>
      <w:bookmarkEnd w:id="14"/>
    </w:p>
    <w:p>
      <w:pPr>
        <w:spacing w:before="120" w:after="120" w:line="288" w:lineRule="auto"/>
        <w:ind w:left="0"/>
        <w:jc w:val="left"/>
      </w:pPr>
      <w:r>
        <w:rPr>
          <w:rFonts w:eastAsia="等线" w:ascii="Arial" w:cs="Arial" w:hAnsi="Arial"/>
          <w:sz w:val="22"/>
        </w:rPr>
        <w:t>通胀因子用于刻画广义价格压力的周期变化。与单独观察 CPI 或 PPI 不同，本模型希望从更广泛的价格体系中提取共同通胀信号，包括居民消费价格、工业品价格、大宗商品价格、能源价格和中上游原材料价格等。</w:t>
      </w:r>
    </w:p>
    <w:p>
      <w:pPr>
        <w:spacing w:before="120" w:after="120" w:line="288" w:lineRule="auto"/>
        <w:ind w:left="0"/>
        <w:jc w:val="left"/>
      </w:pPr>
      <w:r>
        <w:rPr>
          <w:rFonts w:eastAsia="等线" w:ascii="Arial" w:cs="Arial" w:hAnsi="Arial"/>
          <w:sz w:val="22"/>
        </w:rPr>
        <w:t>通胀因子的核心作用是识别当前宏观环境中的价格压力是增强还是缓和，并为商品类资产、债券类资产和其他风险资产的配置判断提供依据。</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2. </w:t>
      </w:r>
      <w:r>
        <w:rPr>
          <w:rFonts w:eastAsia="等线" w:ascii="Arial" w:cs="Arial" w:hAnsi="Arial"/>
          <w:b w:val="true"/>
          <w:sz w:val="32"/>
        </w:rPr>
        <w:t>通胀因子的原始指标池</w:t>
      </w:r>
      <w:bookmarkEnd w:id="15"/>
    </w:p>
    <w:p>
      <w:pPr>
        <w:spacing w:before="120" w:after="120" w:line="288" w:lineRule="auto"/>
        <w:ind w:left="0"/>
        <w:jc w:val="left"/>
      </w:pPr>
      <w:r>
        <w:rPr>
          <w:rFonts w:eastAsia="等线" w:ascii="Arial" w:cs="Arial" w:hAnsi="Arial"/>
          <w:sz w:val="22"/>
        </w:rPr>
        <w:t>通胀因子的原始指标池主要包括三类。</w:t>
      </w:r>
    </w:p>
    <w:p>
      <w:pPr>
        <w:spacing w:before="120" w:after="120" w:line="288" w:lineRule="auto"/>
        <w:ind w:left="0"/>
        <w:jc w:val="left"/>
      </w:pPr>
      <w:r>
        <w:rPr>
          <w:rFonts w:eastAsia="等线" w:ascii="Arial" w:cs="Arial" w:hAnsi="Arial"/>
          <w:sz w:val="22"/>
        </w:rPr>
        <w:t>第一类是官方通胀指标，包括 CPI 和 PPI。CPI 更偏向居民消费端价格变化，PPI 更偏向工业生产端价格变化。</w:t>
      </w:r>
    </w:p>
    <w:p>
      <w:pPr>
        <w:spacing w:before="120" w:after="120" w:line="288" w:lineRule="auto"/>
        <w:ind w:left="0"/>
        <w:jc w:val="left"/>
      </w:pPr>
      <w:r>
        <w:rPr>
          <w:rFonts w:eastAsia="等线" w:ascii="Arial" w:cs="Arial" w:hAnsi="Arial"/>
          <w:sz w:val="22"/>
        </w:rPr>
        <w:t>第二类是农产品和消费品价格，例如猪肉、玉米、豆粕等，用于反映食品价格和生活资料价格变化。</w:t>
      </w:r>
    </w:p>
    <w:p>
      <w:pPr>
        <w:spacing w:before="120" w:after="120" w:line="288" w:lineRule="auto"/>
        <w:ind w:left="0"/>
        <w:jc w:val="left"/>
      </w:pPr>
      <w:r>
        <w:rPr>
          <w:rFonts w:eastAsia="等线" w:ascii="Arial" w:cs="Arial" w:hAnsi="Arial"/>
          <w:sz w:val="22"/>
        </w:rPr>
        <w:t>第三类是工业品和大宗商品价格，例如 WTI 原油、Brent 原油、铜、铝、铅、锌、CRB 现货指数、纺织价格指数等。这类指标对输入型通胀、工业成本压力和商品周期更加敏感。</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3. </w:t>
      </w:r>
      <w:r>
        <w:rPr>
          <w:rFonts w:eastAsia="等线" w:ascii="Arial" w:cs="Arial" w:hAnsi="Arial"/>
          <w:b w:val="true"/>
          <w:sz w:val="32"/>
        </w:rPr>
        <w:t>通胀因子的预处理方法</w:t>
      </w:r>
      <w:bookmarkEnd w:id="16"/>
    </w:p>
    <w:p>
      <w:pPr>
        <w:spacing w:before="120" w:after="120" w:line="288" w:lineRule="auto"/>
        <w:ind w:left="0"/>
        <w:jc w:val="left"/>
      </w:pPr>
      <w:r>
        <w:rPr>
          <w:rFonts w:eastAsia="等线" w:ascii="Arial" w:cs="Arial" w:hAnsi="Arial"/>
          <w:sz w:val="22"/>
        </w:rPr>
        <w:t>由于通胀指标的原始口径并不完全一致，模型首先将所有价格指标统一转换为同比口径。</w:t>
      </w:r>
    </w:p>
    <w:p>
      <w:pPr>
        <w:spacing w:before="120" w:after="120" w:line="288" w:lineRule="auto"/>
        <w:ind w:left="0"/>
        <w:jc w:val="left"/>
      </w:pPr>
      <w:r>
        <w:rPr>
          <w:rFonts w:eastAsia="等线" w:ascii="Arial" w:cs="Arial" w:hAnsi="Arial"/>
          <w:sz w:val="22"/>
        </w:rPr>
        <w:t>对于以环比形式发布的指标，模型先将环比变化累乘为价格指数，再计算该指数相较于 12 个月前的变化率，得到估算同比。</w:t>
      </w:r>
    </w:p>
    <w:p>
      <w:pPr>
        <w:spacing w:before="120" w:after="120" w:line="288" w:lineRule="auto"/>
        <w:ind w:left="0"/>
        <w:jc w:val="left"/>
      </w:pPr>
      <w:r>
        <w:rPr>
          <w:rFonts w:eastAsia="等线" w:ascii="Arial" w:cs="Arial" w:hAnsi="Arial"/>
          <w:sz w:val="22"/>
        </w:rPr>
        <w:t>对于以价格水平形式发布的指标，模型直接计算其相较于 12 个月前的百分比变化，得到同比增速。</w:t>
      </w:r>
    </w:p>
    <w:p>
      <w:pPr>
        <w:spacing w:before="120" w:after="120" w:line="288" w:lineRule="auto"/>
        <w:ind w:left="0"/>
        <w:jc w:val="left"/>
      </w:pPr>
      <w:r>
        <w:rPr>
          <w:rFonts w:eastAsia="等线" w:ascii="Arial" w:cs="Arial" w:hAnsi="Arial"/>
          <w:sz w:val="22"/>
        </w:rPr>
        <w:t>统一为同比口径后，不同价格指标之间具有更好的可比性，也更符合投资者对通胀压力的直观理解。</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4. </w:t>
      </w:r>
      <w:r>
        <w:rPr>
          <w:rFonts w:eastAsia="等线" w:ascii="Arial" w:cs="Arial" w:hAnsi="Arial"/>
          <w:b w:val="true"/>
          <w:sz w:val="32"/>
        </w:rPr>
        <w:t>广义通胀基准的构建</w:t>
      </w:r>
      <w:bookmarkEnd w:id="17"/>
    </w:p>
    <w:p>
      <w:pPr>
        <w:spacing w:before="120" w:after="120" w:line="288" w:lineRule="auto"/>
        <w:ind w:left="0"/>
        <w:jc w:val="left"/>
      </w:pPr>
      <w:r>
        <w:rPr>
          <w:rFonts w:eastAsia="等线" w:ascii="Arial" w:cs="Arial" w:hAnsi="Arial"/>
          <w:sz w:val="22"/>
        </w:rPr>
        <w:t>通胀因子并不是直接以 CPI 或 PPI 作为唯一基准，而是使用 CPI 与 PPI 构建“广义通胀指数”。</w:t>
      </w:r>
    </w:p>
    <w:p>
      <w:pPr>
        <w:spacing w:before="120" w:after="120" w:line="288" w:lineRule="auto"/>
        <w:ind w:left="0"/>
        <w:jc w:val="left"/>
      </w:pPr>
      <w:r>
        <w:rPr>
          <w:rFonts w:eastAsia="等线" w:ascii="Arial" w:cs="Arial" w:hAnsi="Arial"/>
          <w:sz w:val="22"/>
        </w:rPr>
        <w:t>CPI 代表消费端价格，PPI 代表生产端价格。仅观察 CPI 可能低估上游工业品价格冲击，仅观察 PPI 又可能忽略居民消费价格变化。因此，将二者结合更能反映整体通胀环境。</w:t>
      </w:r>
    </w:p>
    <w:p>
      <w:pPr>
        <w:spacing w:before="120" w:after="120" w:line="288" w:lineRule="auto"/>
        <w:ind w:left="0"/>
        <w:jc w:val="left"/>
      </w:pPr>
      <w:r>
        <w:rPr>
          <w:rFonts w:eastAsia="等线" w:ascii="Arial" w:cs="Arial" w:hAnsi="Arial"/>
          <w:sz w:val="22"/>
        </w:rPr>
        <w:t>模型采用动态波动率倒数加权方法构建广义通胀基准。具体来说，模型使用截至当期为止的扩展窗口标准差衡量 CPI 和 PPI 的历史波动，并给予波动率较低、稳定性更高的指标更高权重，给予波动率较高的指标较低权重。</w:t>
      </w:r>
    </w:p>
    <w:p>
      <w:pPr>
        <w:spacing w:before="120" w:after="120" w:line="288" w:lineRule="auto"/>
        <w:ind w:left="0"/>
        <w:jc w:val="left"/>
      </w:pPr>
      <w:r>
        <w:rPr>
          <w:rFonts w:eastAsia="等线" w:ascii="Arial" w:cs="Arial" w:hAnsi="Arial"/>
          <w:sz w:val="22"/>
        </w:rPr>
        <w:t>这一设计避免了人为设定固定权重，同时也不使用未来数据，符合实盘投资要求。</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5. </w:t>
      </w:r>
      <w:r>
        <w:rPr>
          <w:rFonts w:eastAsia="等线" w:ascii="Arial" w:cs="Arial" w:hAnsi="Arial"/>
          <w:b w:val="true"/>
          <w:sz w:val="32"/>
        </w:rPr>
        <w:t>通胀因子的周期提取与筛选</w:t>
      </w:r>
      <w:bookmarkEnd w:id="18"/>
    </w:p>
    <w:p>
      <w:pPr>
        <w:spacing w:before="120" w:after="120" w:line="288" w:lineRule="auto"/>
        <w:ind w:left="0"/>
        <w:jc w:val="left"/>
      </w:pPr>
      <w:r>
        <w:rPr>
          <w:rFonts w:eastAsia="等线" w:ascii="Arial" w:cs="Arial" w:hAnsi="Arial"/>
          <w:sz w:val="22"/>
        </w:rPr>
        <w:t>模型首先对广义通胀基准进行单边 STL 分解和 HP 滤波，得到广义通胀周期项。随后，对候选价格指标也进行相同的周期处理。</w:t>
      </w:r>
    </w:p>
    <w:p>
      <w:pPr>
        <w:spacing w:before="120" w:after="120" w:line="288" w:lineRule="auto"/>
        <w:ind w:left="0"/>
        <w:jc w:val="left"/>
      </w:pPr>
      <w:r>
        <w:rPr>
          <w:rFonts w:eastAsia="等线" w:ascii="Arial" w:cs="Arial" w:hAnsi="Arial"/>
          <w:sz w:val="22"/>
        </w:rPr>
        <w:t>接下来，模型对每个候选指标与广义通胀周期项进行 0 至 12 个月的领先滞后相关性检验。若某个指标与广义通胀基准的最大正相关性超过 0.3，则认为该指标对通胀周期具有较强解释力。</w:t>
      </w:r>
    </w:p>
    <w:p>
      <w:pPr>
        <w:spacing w:before="120" w:after="120" w:line="288" w:lineRule="auto"/>
        <w:ind w:left="0"/>
        <w:jc w:val="left"/>
      </w:pPr>
      <w:r>
        <w:rPr>
          <w:rFonts w:eastAsia="等线" w:ascii="Arial" w:cs="Arial" w:hAnsi="Arial"/>
          <w:sz w:val="22"/>
        </w:rPr>
        <w:t>最终，模型选择相关性排名最高的前 5 个指标作为通胀因子的底层成分。</w:t>
      </w:r>
    </w:p>
    <w:p>
      <w:pPr>
        <w:spacing w:before="120" w:after="120" w:line="288" w:lineRule="auto"/>
        <w:ind w:left="0"/>
        <w:jc w:val="left"/>
      </w:pPr>
      <w:r>
        <w:rPr>
          <w:rFonts w:eastAsia="等线" w:ascii="Arial" w:cs="Arial" w:hAnsi="Arial"/>
          <w:sz w:val="22"/>
        </w:rPr>
        <w:t>根据当前模型逻辑，通胀因子的代表性入选指标包括：</w:t>
      </w:r>
    </w:p>
    <w:p>
      <w:pPr>
        <w:spacing w:before="120" w:after="120" w:line="288" w:lineRule="auto"/>
        <w:ind w:left="0"/>
      </w:pPr>
      <w:r>
        <w:object>
          <v:shape id="_x0000_i1027" style="width:414pt;height:174pt;mso-width-percent:0;mso-height-percent:0;mso-width-percent:0;mso-height-percent:0" type="#_x0000_t75" o:ole="">
            <v:imagedata r:id="rId11"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这些指标大多位于通胀传导链条的中上游，因此能够较早反映成本端和输入型通胀压力。</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6. </w:t>
      </w:r>
      <w:r>
        <w:rPr>
          <w:rFonts w:eastAsia="等线" w:ascii="Arial" w:cs="Arial" w:hAnsi="Arial"/>
          <w:b w:val="true"/>
          <w:sz w:val="32"/>
        </w:rPr>
        <w:t>通胀因子的合成方式</w:t>
      </w:r>
      <w:bookmarkEnd w:id="19"/>
    </w:p>
    <w:p>
      <w:pPr>
        <w:spacing w:before="120" w:after="120" w:line="288" w:lineRule="auto"/>
        <w:ind w:left="0"/>
        <w:jc w:val="left"/>
      </w:pPr>
      <w:r>
        <w:rPr>
          <w:rFonts w:eastAsia="等线" w:ascii="Arial" w:cs="Arial" w:hAnsi="Arial"/>
          <w:sz w:val="22"/>
        </w:rPr>
        <w:t>与增长因子类似，通胀因子也需要对底层指标进行滚动标准化。</w:t>
      </w:r>
    </w:p>
    <w:p>
      <w:pPr>
        <w:spacing w:before="120" w:after="120" w:line="288" w:lineRule="auto"/>
        <w:ind w:left="0"/>
        <w:jc w:val="left"/>
      </w:pPr>
      <w:r>
        <w:rPr>
          <w:rFonts w:eastAsia="等线" w:ascii="Arial" w:cs="Arial" w:hAnsi="Arial"/>
          <w:sz w:val="22"/>
        </w:rPr>
        <w:t>模型使用过去 36 个月的滚动均值和滚动标准差计算各指标的 Z-Score，并要求至少 24 个月有效样本才开始计算。标准化后的数值表示该价格指标当前通胀压力相对于自身过去三年历史状态的偏离程度。</w:t>
      </w:r>
    </w:p>
    <w:p>
      <w:pPr>
        <w:spacing w:before="120" w:after="120" w:line="288" w:lineRule="auto"/>
        <w:ind w:left="0"/>
        <w:jc w:val="left"/>
      </w:pPr>
      <w:r>
        <w:rPr>
          <w:rFonts w:eastAsia="等线" w:ascii="Arial" w:cs="Arial" w:hAnsi="Arial"/>
          <w:sz w:val="22"/>
        </w:rPr>
        <w:t>随后，模型对前 5 个入选指标进行等权平均，并进行 3 个月滚动平滑，形成最终通胀因子。</w:t>
      </w:r>
    </w:p>
    <w:p>
      <w:pPr>
        <w:spacing w:before="120" w:after="120" w:line="288" w:lineRule="auto"/>
        <w:ind w:left="0"/>
        <w:jc w:val="left"/>
      </w:pPr>
      <w:r>
        <w:rPr>
          <w:rFonts w:eastAsia="等线" w:ascii="Arial" w:cs="Arial" w:hAnsi="Arial"/>
          <w:sz w:val="22"/>
        </w:rPr>
        <w:t>通胀因子的合成路径可以概括为：</w:t>
      </w:r>
    </w:p>
    <w:p>
      <w:pPr>
        <w:spacing w:before="120" w:after="120" w:line="288" w:lineRule="auto"/>
        <w:ind w:left="0"/>
        <w:jc w:val="left"/>
      </w:pPr>
      <w:r>
        <w:rPr>
          <w:rFonts w:eastAsia="等线" w:ascii="Arial" w:cs="Arial" w:hAnsi="Arial"/>
          <w:b w:val="true"/>
          <w:sz w:val="22"/>
        </w:rPr>
        <w:t>原始价格指标 → 统一转换为同比 → 构建 CPI/PPI 动态加权广义通胀基准 → 单边 STL 去季节 → HP 滤波提取周期项 → 领先相关性筛选 → 前 5 个指标滚动 Z-Score → 等权平均 → 3 个月平滑 → 通胀因子。</w:t>
      </w:r>
    </w:p>
    <w:p>
      <w:pPr>
        <w:spacing w:before="120" w:after="120" w:line="288" w:lineRule="auto"/>
        <w:ind w:left="0"/>
        <w:jc w:val="left"/>
      </w:pPr>
      <w:r>
        <w:rPr>
          <w:rFonts w:eastAsia="等线" w:ascii="Arial" w:cs="Arial" w:hAnsi="Arial"/>
          <w:b w:val="true"/>
          <w:sz w:val="22"/>
        </w:rPr>
        <w:t>合成效果如下：</w:t>
      </w:r>
    </w:p>
    <w:p>
      <w:pPr>
        <w:spacing w:before="120" w:after="120" w:line="288" w:lineRule="auto"/>
        <w:ind w:left="0"/>
        <w:jc w:val="center"/>
      </w:pPr>
      <w:r>
        <w:drawing>
          <wp:inline distT="0" distR="0" distB="0" distL="0">
            <wp:extent cx="5257800" cy="59436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2"/>
                    <a:stretch>
                      <a:fillRect/>
                    </a:stretch>
                  </pic:blipFill>
                  <pic:spPr>
                    <a:xfrm>
                      <a:off x="0" y="0"/>
                      <a:ext cx="5257800" cy="5943600"/>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7. </w:t>
      </w:r>
      <w:r>
        <w:rPr>
          <w:rFonts w:eastAsia="等线" w:ascii="Arial" w:cs="Arial" w:hAnsi="Arial"/>
          <w:b w:val="true"/>
          <w:sz w:val="32"/>
        </w:rPr>
        <w:t>通胀因子的投资含义</w:t>
      </w:r>
      <w:bookmarkEnd w:id="20"/>
    </w:p>
    <w:p>
      <w:pPr>
        <w:spacing w:before="120" w:after="120" w:line="288" w:lineRule="auto"/>
        <w:ind w:left="0"/>
        <w:jc w:val="left"/>
      </w:pPr>
      <w:r>
        <w:rPr>
          <w:rFonts w:eastAsia="等线" w:ascii="Arial" w:cs="Arial" w:hAnsi="Arial"/>
          <w:sz w:val="22"/>
        </w:rPr>
        <w:t>通胀因子大于 0，说明入选价格指标整体处于高于趋势的位置，通胀压力偏强。</w:t>
      </w:r>
    </w:p>
    <w:p>
      <w:pPr>
        <w:spacing w:before="120" w:after="120" w:line="288" w:lineRule="auto"/>
        <w:ind w:left="0"/>
        <w:jc w:val="left"/>
      </w:pPr>
      <w:r>
        <w:rPr>
          <w:rFonts w:eastAsia="等线" w:ascii="Arial" w:cs="Arial" w:hAnsi="Arial"/>
          <w:sz w:val="22"/>
        </w:rPr>
        <w:t>通胀因子小于 0，说明入选价格指标整体处于低于趋势的位置，通胀压力偏弱。</w:t>
      </w:r>
    </w:p>
    <w:p>
      <w:pPr>
        <w:spacing w:before="120" w:after="120" w:line="288" w:lineRule="auto"/>
        <w:ind w:left="0"/>
        <w:jc w:val="left"/>
      </w:pPr>
      <w:r>
        <w:rPr>
          <w:rFonts w:eastAsia="等线" w:ascii="Arial" w:cs="Arial" w:hAnsi="Arial"/>
          <w:sz w:val="22"/>
        </w:rPr>
        <w:t>通胀因子上行，通常意味着成本端、商品端或输入型价格压力正在增强。此时商品类资产的相对配置价值可能提升，而久期债券类资产可能面临一定压力。</w:t>
      </w:r>
    </w:p>
    <w:p>
      <w:pPr>
        <w:spacing w:before="120" w:after="120" w:line="288" w:lineRule="auto"/>
        <w:ind w:left="0"/>
        <w:jc w:val="left"/>
      </w:pPr>
      <w:r>
        <w:rPr>
          <w:rFonts w:eastAsia="等线" w:ascii="Arial" w:cs="Arial" w:hAnsi="Arial"/>
          <w:sz w:val="22"/>
        </w:rPr>
        <w:t>通胀因子下行，通常意味着价格压力缓和。此时债券类资产的宏观环境相对改善，组合可更多关注利率下行和流动性改善带来的机会。</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1" w:id="21"/>
      <w:r>
        <w:rPr>
          <w:rFonts w:eastAsia="等线" w:ascii="Arial" w:cs="Arial" w:hAnsi="Arial"/>
          <w:b w:val="true"/>
          <w:sz w:val="36"/>
        </w:rPr>
        <w:t>货币因子合成方法</w:t>
      </w:r>
      <w:bookmarkEnd w:id="21"/>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1. </w:t>
      </w:r>
      <w:r>
        <w:rPr>
          <w:rFonts w:eastAsia="等线" w:ascii="Arial" w:cs="Arial" w:hAnsi="Arial"/>
          <w:b w:val="true"/>
          <w:sz w:val="32"/>
        </w:rPr>
        <w:t>货币因子的定位</w:t>
      </w:r>
      <w:bookmarkEnd w:id="22"/>
    </w:p>
    <w:p>
      <w:pPr>
        <w:spacing w:before="120" w:after="120" w:line="288" w:lineRule="auto"/>
        <w:ind w:left="0"/>
        <w:jc w:val="left"/>
      </w:pPr>
      <w:r>
        <w:rPr>
          <w:rFonts w:eastAsia="等线" w:ascii="Arial" w:cs="Arial" w:hAnsi="Arial"/>
          <w:sz w:val="22"/>
        </w:rPr>
        <w:t>货币因子用于衡量资金价格和货币环境的松紧变化。与增长因子和通胀因子不同，货币因子不从多个指标中筛选合成，而是采用更加直接、透明的利率指标。</w:t>
      </w:r>
    </w:p>
    <w:p>
      <w:pPr>
        <w:spacing w:before="120" w:after="120" w:line="288" w:lineRule="auto"/>
        <w:ind w:left="0"/>
        <w:jc w:val="left"/>
      </w:pPr>
      <w:r>
        <w:rPr>
          <w:rFonts w:eastAsia="等线" w:ascii="Arial" w:cs="Arial" w:hAnsi="Arial"/>
          <w:sz w:val="22"/>
        </w:rPr>
        <w:t>当前模型使用中国 1 年期国债收益率作为货币因子的核心基础变量。1 年期国债收益率处于短端利率区间，相比长期利率更容易受到银行间流动性、货币政策预期和短期资金价格变化的影响，因此适合作为货币条件变化的代理变量。</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2. </w:t>
      </w:r>
      <w:r>
        <w:rPr>
          <w:rFonts w:eastAsia="等线" w:ascii="Arial" w:cs="Arial" w:hAnsi="Arial"/>
          <w:b w:val="true"/>
          <w:sz w:val="32"/>
        </w:rPr>
        <w:t>货币因子的指标选择</w:t>
      </w:r>
      <w:bookmarkEnd w:id="23"/>
    </w:p>
    <w:p>
      <w:pPr>
        <w:spacing w:before="120" w:after="120" w:line="288" w:lineRule="auto"/>
        <w:ind w:left="0"/>
        <w:jc w:val="left"/>
      </w:pPr>
      <w:r>
        <w:rPr>
          <w:rFonts w:eastAsia="等线" w:ascii="Arial" w:cs="Arial" w:hAnsi="Arial"/>
          <w:sz w:val="22"/>
        </w:rPr>
        <w:t>模型会在原始利率数据中自动搜索同时包含“国债”和“1年”的指标，并排除美国国债、国开债以及利差类指标，最终锁定中国 1 年期国债收益率作为基础序列。</w:t>
      </w:r>
    </w:p>
    <w:p>
      <w:pPr>
        <w:spacing w:before="120" w:after="120" w:line="288" w:lineRule="auto"/>
        <w:ind w:left="0"/>
        <w:jc w:val="left"/>
      </w:pPr>
      <w:r>
        <w:rPr>
          <w:rFonts w:eastAsia="等线" w:ascii="Arial" w:cs="Arial" w:hAnsi="Arial"/>
          <w:sz w:val="22"/>
        </w:rPr>
        <w:t>选择该指标的原因主要有三点。</w:t>
      </w:r>
    </w:p>
    <w:p>
      <w:pPr>
        <w:spacing w:before="120" w:after="120" w:line="288" w:lineRule="auto"/>
        <w:ind w:left="0"/>
        <w:jc w:val="left"/>
      </w:pPr>
      <w:r>
        <w:rPr>
          <w:rFonts w:eastAsia="等线" w:ascii="Arial" w:cs="Arial" w:hAnsi="Arial"/>
          <w:sz w:val="22"/>
        </w:rPr>
        <w:t>第一，1 年期国债收益率具有较强的货币政策敏感性。短端利率通常更容易反映市场对资金面的预期变化。</w:t>
      </w:r>
    </w:p>
    <w:p>
      <w:pPr>
        <w:spacing w:before="120" w:after="120" w:line="288" w:lineRule="auto"/>
        <w:ind w:left="0"/>
        <w:jc w:val="left"/>
      </w:pPr>
      <w:r>
        <w:rPr>
          <w:rFonts w:eastAsia="等线" w:ascii="Arial" w:cs="Arial" w:hAnsi="Arial"/>
          <w:sz w:val="22"/>
        </w:rPr>
        <w:t>第二，国债收益率由市场交易形成，具有较好的连续性和可观察性，能够及时反映资金价格变化。</w:t>
      </w:r>
    </w:p>
    <w:p>
      <w:pPr>
        <w:spacing w:before="120" w:after="120" w:line="288" w:lineRule="auto"/>
        <w:ind w:left="0"/>
        <w:jc w:val="left"/>
      </w:pPr>
      <w:r>
        <w:rPr>
          <w:rFonts w:eastAsia="等线" w:ascii="Arial" w:cs="Arial" w:hAnsi="Arial"/>
          <w:sz w:val="22"/>
        </w:rPr>
        <w:t>第三，使用单一核心利率指标有利于提高模型透明度，投资者能够直观理解因子含义。</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3. </w:t>
      </w:r>
      <w:r>
        <w:rPr>
          <w:rFonts w:eastAsia="等线" w:ascii="Arial" w:cs="Arial" w:hAnsi="Arial"/>
          <w:b w:val="true"/>
          <w:sz w:val="32"/>
        </w:rPr>
        <w:t>货币因子的处理方法</w:t>
      </w:r>
      <w:bookmarkEnd w:id="24"/>
    </w:p>
    <w:p>
      <w:pPr>
        <w:spacing w:before="120" w:after="120" w:line="288" w:lineRule="auto"/>
        <w:ind w:left="0"/>
        <w:jc w:val="left"/>
      </w:pPr>
      <w:r>
        <w:rPr>
          <w:rFonts w:eastAsia="等线" w:ascii="Arial" w:cs="Arial" w:hAnsi="Arial"/>
          <w:sz w:val="22"/>
        </w:rPr>
        <w:t>在数据清洗阶段，模型会读取原始利率数据，删除元数据行，统一日期索引和数值格式，并对缺失值进行前值填充，以保证利率序列连续可用。</w:t>
      </w:r>
    </w:p>
    <w:p>
      <w:pPr>
        <w:spacing w:before="120" w:after="120" w:line="288" w:lineRule="auto"/>
        <w:ind w:left="0"/>
        <w:jc w:val="left"/>
      </w:pPr>
      <w:r>
        <w:rPr>
          <w:rFonts w:eastAsia="等线" w:ascii="Arial" w:cs="Arial" w:hAnsi="Arial"/>
          <w:sz w:val="22"/>
        </w:rPr>
        <w:t>随后，模型对 1 年期国债收益率进行单边 HP 滤波，提取其相对于长期趋势的周期偏离。与增长和通胀因子不同，货币因子不进行 STL 分解，而是直接使用 HP 滤波处理利率序列。</w:t>
      </w:r>
    </w:p>
    <w:p>
      <w:pPr>
        <w:spacing w:before="120" w:after="120" w:line="288" w:lineRule="auto"/>
        <w:ind w:left="0"/>
        <w:jc w:val="left"/>
      </w:pPr>
      <w:r>
        <w:rPr>
          <w:rFonts w:eastAsia="等线" w:ascii="Arial" w:cs="Arial" w:hAnsi="Arial"/>
          <w:sz w:val="22"/>
        </w:rPr>
        <w:t>完成单边 HP 滤波后，模型再对利率周期项进行 3 日滚动平均，以降低日频短期扰动，形成最终货币因子。</w:t>
      </w:r>
    </w:p>
    <w:p>
      <w:pPr>
        <w:spacing w:before="120" w:after="120" w:line="288" w:lineRule="auto"/>
        <w:ind w:left="0"/>
        <w:jc w:val="left"/>
      </w:pPr>
      <w:r>
        <w:rPr>
          <w:rFonts w:eastAsia="等线" w:ascii="Arial" w:cs="Arial" w:hAnsi="Arial"/>
          <w:sz w:val="22"/>
        </w:rPr>
        <w:t>货币因子的合成路径可以概括为：</w:t>
      </w:r>
    </w:p>
    <w:p>
      <w:pPr>
        <w:spacing w:before="120" w:after="120" w:line="288" w:lineRule="auto"/>
        <w:ind w:left="0"/>
        <w:jc w:val="left"/>
      </w:pPr>
      <w:r>
        <w:rPr>
          <w:rFonts w:eastAsia="等线" w:ascii="Arial" w:cs="Arial" w:hAnsi="Arial"/>
          <w:b w:val="true"/>
          <w:sz w:val="22"/>
        </w:rPr>
        <w:t>原始利率数据 → 数据清洗 → 锁定中国 1 年期国债收益率 → 前值填充缺失值 → 单边 HP 滤波提取利率周期项 → 3 日滚动平滑 → 货币因子。</w:t>
      </w:r>
    </w:p>
    <w:p>
      <w:pPr>
        <w:spacing w:before="120" w:after="120" w:line="288" w:lineRule="auto"/>
        <w:ind w:left="0"/>
        <w:jc w:val="left"/>
      </w:pPr>
      <w:r>
        <w:rPr>
          <w:rFonts w:eastAsia="等线" w:ascii="Arial" w:cs="Arial" w:hAnsi="Arial"/>
          <w:b w:val="true"/>
          <w:sz w:val="22"/>
        </w:rPr>
        <w:t>合成效果如下：</w:t>
      </w:r>
    </w:p>
    <w:p>
      <w:pPr>
        <w:spacing w:before="120" w:after="120" w:line="288" w:lineRule="auto"/>
        <w:ind w:left="0"/>
        <w:jc w:val="center"/>
      </w:pPr>
      <w:r>
        <w:drawing>
          <wp:inline distT="0" distR="0" distB="0" distL="0">
            <wp:extent cx="5257800" cy="22098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3"/>
                    <a:stretch>
                      <a:fillRect/>
                    </a:stretch>
                  </pic:blipFill>
                  <pic:spPr>
                    <a:xfrm>
                      <a:off x="0" y="0"/>
                      <a:ext cx="5257800" cy="2209800"/>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4. </w:t>
      </w:r>
      <w:r>
        <w:rPr>
          <w:rFonts w:eastAsia="等线" w:ascii="Arial" w:cs="Arial" w:hAnsi="Arial"/>
          <w:b w:val="true"/>
          <w:sz w:val="32"/>
        </w:rPr>
        <w:t>货币因子的投资含义</w:t>
      </w:r>
      <w:bookmarkEnd w:id="25"/>
    </w:p>
    <w:p>
      <w:pPr>
        <w:spacing w:before="120" w:after="120" w:line="288" w:lineRule="auto"/>
        <w:ind w:left="0"/>
        <w:jc w:val="left"/>
      </w:pPr>
      <w:r>
        <w:rPr>
          <w:rFonts w:eastAsia="等线" w:ascii="Arial" w:cs="Arial" w:hAnsi="Arial"/>
          <w:sz w:val="22"/>
        </w:rPr>
        <w:t>货币因子的解释方向需要特别注意。</w:t>
      </w:r>
    </w:p>
    <w:p>
      <w:pPr>
        <w:spacing w:before="120" w:after="120" w:line="288" w:lineRule="auto"/>
        <w:ind w:left="0"/>
        <w:jc w:val="left"/>
      </w:pPr>
      <w:r>
        <w:rPr>
          <w:rFonts w:eastAsia="等线" w:ascii="Arial" w:cs="Arial" w:hAnsi="Arial"/>
          <w:sz w:val="22"/>
        </w:rPr>
        <w:t>由于货币因子的基础变量是利率，因此因子大于 0 并不代表宽松，而是代表利率高于趋势水平，货币环境偏紧。</w:t>
      </w:r>
    </w:p>
    <w:p>
      <w:pPr>
        <w:spacing w:before="120" w:after="120" w:line="288" w:lineRule="auto"/>
        <w:ind w:left="0"/>
        <w:jc w:val="left"/>
      </w:pPr>
      <w:r>
        <w:rPr>
          <w:rFonts w:eastAsia="等线" w:ascii="Arial" w:cs="Arial" w:hAnsi="Arial"/>
          <w:sz w:val="22"/>
        </w:rPr>
        <w:t>相反，货币因子小于 0 代表利率低于趋势水平，货币环境偏宽松。</w:t>
      </w:r>
    </w:p>
    <w:p>
      <w:pPr>
        <w:spacing w:before="120" w:after="120" w:line="288" w:lineRule="auto"/>
        <w:ind w:left="0"/>
        <w:jc w:val="left"/>
      </w:pPr>
      <w:r>
        <w:rPr>
          <w:rFonts w:eastAsia="等线" w:ascii="Arial" w:cs="Arial" w:hAnsi="Arial"/>
          <w:sz w:val="22"/>
        </w:rPr>
        <w:t>也就是说：</w:t>
      </w:r>
    </w:p>
    <w:p>
      <w:pPr>
        <w:spacing w:before="120" w:after="120" w:line="288" w:lineRule="auto"/>
        <w:ind w:left="0"/>
      </w:pPr>
      <w:r>
        <w:object>
          <v:shape id="_x0000_i1028" style="width:414pt;height:80pt;mso-width-percent:0;mso-height-percent:0;mso-width-percent:0;mso-height-percent:0" type="#_x0000_t75" o:ole="">
            <v:imagedata r:id="rId15" o:title=""/>
          </v:shape>
          <o:OLEObject DrawAspect="Icon" ObjectID="_1718471222" ProgID="Excel.Sheet.12" ShapeID="_x0000_i1028"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代码中也特别提示，导出的货币因子代表利率本身，应在回测引擎中确保 </w:t>
      </w:r>
      <w:r>
        <w:rPr>
          <w:rFonts w:eastAsia="Consolas" w:ascii="Consolas" w:cs="Consolas" w:hAnsi="Consolas"/>
          <w:sz w:val="22"/>
          <w:shd w:fill="EFF0F1"/>
        </w:rPr>
        <w:t>m &lt;= 0</w:t>
      </w:r>
      <w:r>
        <w:rPr>
          <w:rFonts w:eastAsia="等线" w:ascii="Arial" w:cs="Arial" w:hAnsi="Arial"/>
          <w:sz w:val="22"/>
        </w:rPr>
        <w:t xml:space="preserve"> 代表宽松，</w:t>
      </w:r>
      <w:r>
        <w:rPr>
          <w:rFonts w:eastAsia="Consolas" w:ascii="Consolas" w:cs="Consolas" w:hAnsi="Consolas"/>
          <w:sz w:val="22"/>
          <w:shd w:fill="EFF0F1"/>
        </w:rPr>
        <w:t>m &gt; 0</w:t>
      </w:r>
      <w:r>
        <w:rPr>
          <w:rFonts w:eastAsia="等线" w:ascii="Arial" w:cs="Arial" w:hAnsi="Arial"/>
          <w:sz w:val="22"/>
        </w:rPr>
        <w:t xml:space="preserve"> 代表紧缩。</w:t>
      </w:r>
    </w:p>
    <w:p>
      <w:pPr>
        <w:spacing w:before="120" w:after="120" w:line="288" w:lineRule="auto"/>
        <w:ind w:left="0"/>
        <w:jc w:val="left"/>
      </w:pPr>
      <w:r>
        <w:rPr>
          <w:rFonts w:eastAsia="等线" w:ascii="Arial" w:cs="Arial" w:hAnsi="Arial"/>
          <w:sz w:val="22"/>
        </w:rPr>
        <w:t>从投资角度看，利率下降通常意味着资金成本下降、流动性改善，对债券、可转债和部分权益资产形成支持；利率上升则意味着资金成本上升、流动性趋紧，可能对高估值资产和久期类资产形成压力。</w:t>
      </w:r>
    </w:p>
    <w:p>
      <w:pPr>
        <w:pStyle w:val="1"/>
        <w:spacing w:before="380" w:after="140" w:line="288" w:lineRule="auto"/>
        <w:ind w:left="0"/>
        <w:jc w:val="left"/>
        <w:outlineLvl w:val="0"/>
      </w:pPr>
      <w:bookmarkStart w:name="heading_26" w:id="26"/>
      <w:r>
        <w:rPr>
          <w:rFonts w:eastAsia="等线" w:ascii="Arial" w:cs="Arial" w:hAnsi="Arial"/>
          <w:b w:val="true"/>
          <w:sz w:val="36"/>
        </w:rPr>
        <w:t>因子方向判定与平滑窗口选择</w:t>
      </w:r>
      <w:bookmarkEnd w:id="26"/>
    </w:p>
    <w:p>
      <w:pPr>
        <w:pStyle w:val="2"/>
        <w:spacing w:before="320" w:after="120" w:line="288" w:lineRule="auto"/>
        <w:ind w:left="0"/>
        <w:jc w:val="left"/>
        <w:outlineLvl w:val="1"/>
      </w:pPr>
      <w:bookmarkStart w:name="heading_27" w:id="27"/>
      <w:r>
        <w:rPr>
          <w:rFonts w:eastAsia="等线" w:ascii="Arial" w:cs="Arial" w:hAnsi="Arial"/>
          <w:b w:val="true"/>
          <w:sz w:val="32"/>
        </w:rPr>
        <w:t>为什么因子合成后还需要判断“方向”</w:t>
      </w:r>
      <w:bookmarkEnd w:id="27"/>
    </w:p>
    <w:p>
      <w:pPr>
        <w:spacing w:before="120" w:after="120" w:line="288" w:lineRule="auto"/>
        <w:ind w:left="0"/>
        <w:jc w:val="left"/>
      </w:pPr>
      <w:r>
        <w:rPr>
          <w:rFonts w:eastAsia="等线" w:ascii="Arial" w:cs="Arial" w:hAnsi="Arial"/>
          <w:sz w:val="22"/>
        </w:rPr>
        <w:t>增长因子、通胀因子和货币因子完成合成后，模型得到的是三个连续型宏观时间序列。但在资产配置中，组合真正需要判断的并不是因子某一个时点的绝对数值，而是因子所代表的宏观变量正在上行还是下行。</w:t>
      </w:r>
    </w:p>
    <w:p>
      <w:pPr>
        <w:spacing w:before="120" w:after="120" w:line="288" w:lineRule="auto"/>
        <w:ind w:left="0"/>
        <w:jc w:val="left"/>
      </w:pPr>
      <w:r>
        <w:rPr>
          <w:rFonts w:eastAsia="等线" w:ascii="Arial" w:cs="Arial" w:hAnsi="Arial"/>
          <w:sz w:val="22"/>
        </w:rPr>
        <w:t>原因在于，大类资产往往对宏观变量的边际变化更加敏感。例如，增长因子虽然仍处于负值区间，但如果已经连续回升，可能意味着经济正从衰退进入复苏；通胀因子即便仍处于高位，但如果开始回落，债券资产的压力可能已经边际缓解；货币因子虽然代表利率水平，但其方向变化能够反映资金环境正在转松还是转紧。</w:t>
      </w:r>
    </w:p>
    <w:p>
      <w:pPr>
        <w:spacing w:before="120" w:after="120" w:line="288" w:lineRule="auto"/>
        <w:ind w:left="0"/>
        <w:jc w:val="left"/>
      </w:pPr>
      <w:r>
        <w:rPr>
          <w:rFonts w:eastAsia="等线" w:ascii="Arial" w:cs="Arial" w:hAnsi="Arial"/>
          <w:sz w:val="22"/>
        </w:rPr>
        <w:t>因此，在三因子合成完成后，模型进一步计算各因子的变化方向，并以此作为普林格周期状态划分的基础。</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方向判定的基本方法：使用因子斜率而非原始水平</w:t>
      </w:r>
      <w:bookmarkEnd w:id="28"/>
    </w:p>
    <w:p>
      <w:pPr>
        <w:spacing w:before="120" w:after="120" w:line="288" w:lineRule="auto"/>
        <w:ind w:left="0"/>
        <w:jc w:val="left"/>
      </w:pPr>
      <w:r>
        <w:rPr>
          <w:rFonts w:eastAsia="等线" w:ascii="Arial" w:cs="Arial" w:hAnsi="Arial"/>
          <w:sz w:val="22"/>
        </w:rPr>
        <w:t>模型首先对三个宏观因子分别计算单月变化，即：</w:t>
      </w:r>
    </w:p>
    <w:p>
      <w:pPr>
        <w:spacing w:before="120" w:after="120" w:line="288" w:lineRule="auto"/>
        <w:ind w:left="0"/>
        <w:jc w:val="left"/>
      </w:pPr>
      <w:r>
        <w:rPr>
          <w:rFonts w:eastAsia="等线" w:ascii="Arial" w:cs="Arial" w:hAnsi="Arial"/>
          <w:b w:val="true"/>
          <w:sz w:val="22"/>
        </w:rPr>
        <w:t>增长趋势 = 增长因子本月值 - 增长因子上月值</w:t>
      </w:r>
    </w:p>
    <w:p>
      <w:pPr>
        <w:spacing w:before="120" w:after="120" w:line="288" w:lineRule="auto"/>
        <w:ind w:left="0"/>
        <w:jc w:val="left"/>
      </w:pPr>
      <w:r>
        <w:rPr>
          <w:rFonts w:eastAsia="等线" w:ascii="Arial" w:cs="Arial" w:hAnsi="Arial"/>
          <w:b w:val="true"/>
          <w:sz w:val="22"/>
        </w:rPr>
        <w:t>通胀趋势 = 通胀因子本月值 - 通胀因子上月值</w:t>
      </w:r>
    </w:p>
    <w:p>
      <w:pPr>
        <w:spacing w:before="120" w:after="120" w:line="288" w:lineRule="auto"/>
        <w:ind w:left="0"/>
        <w:jc w:val="left"/>
      </w:pPr>
      <w:r>
        <w:rPr>
          <w:rFonts w:eastAsia="等线" w:ascii="Arial" w:cs="Arial" w:hAnsi="Arial"/>
          <w:b w:val="true"/>
          <w:sz w:val="22"/>
        </w:rPr>
        <w:t>货币趋势 = 货币因子本月值 - 货币因子上月值</w:t>
      </w:r>
    </w:p>
    <w:p>
      <w:pPr>
        <w:spacing w:before="120" w:after="120" w:line="288" w:lineRule="auto"/>
        <w:ind w:left="0"/>
        <w:jc w:val="left"/>
      </w:pPr>
      <w:r>
        <w:rPr>
          <w:rFonts w:eastAsia="等线" w:ascii="Arial" w:cs="Arial" w:hAnsi="Arial"/>
          <w:sz w:val="22"/>
        </w:rPr>
        <w:t>这一步的含义是，将因子的“水平状态”转换为“边际方向”。如果变化值大于 0，说明该因子正在上行；如果变化值小于或等于 0，说明该因子正在下行或未明显改善。</w:t>
      </w:r>
    </w:p>
    <w:p>
      <w:pPr>
        <w:spacing w:before="120" w:after="120" w:line="288" w:lineRule="auto"/>
        <w:ind w:left="0"/>
        <w:jc w:val="left"/>
      </w:pPr>
      <w:r>
        <w:rPr>
          <w:rFonts w:eastAsia="等线" w:ascii="Arial" w:cs="Arial" w:hAnsi="Arial"/>
          <w:sz w:val="22"/>
        </w:rPr>
        <w:t xml:space="preserve">在代码中，增长、通胀和货币因子分别通过 </w:t>
      </w:r>
      <w:r>
        <w:rPr>
          <w:rFonts w:eastAsia="Consolas" w:ascii="Consolas" w:cs="Consolas" w:hAnsi="Consolas"/>
          <w:sz w:val="22"/>
          <w:shd w:fill="EFF0F1"/>
        </w:rPr>
        <w:t>diff()</w:t>
      </w:r>
      <w:r>
        <w:rPr>
          <w:rFonts w:eastAsia="等线" w:ascii="Arial" w:cs="Arial" w:hAnsi="Arial"/>
          <w:sz w:val="22"/>
        </w:rPr>
        <w:t xml:space="preserve"> 计算单月斜率，并进一步用于后续宏观状态判断。</w:t>
      </w:r>
    </w:p>
    <w:p>
      <w:pPr>
        <w:spacing w:before="120" w:after="120" w:line="288" w:lineRule="auto"/>
        <w:ind w:left="0"/>
        <w:jc w:val="left"/>
      </w:pPr>
      <w:r>
        <w:rPr>
          <w:rFonts w:eastAsia="等线" w:ascii="Arial" w:cs="Arial" w:hAnsi="Arial"/>
          <w:sz w:val="22"/>
        </w:rPr>
        <w:t>这样处理后，模型判断的不再是“增长因子高不高”“通胀因子高不高”，而是“增长是否正在改善”“通胀是否正在升温”“货币环境是否正在收紧”。</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信号可得性处理：增长与通胀滞后一个月，货币使用当月</w:t>
      </w:r>
      <w:bookmarkEnd w:id="29"/>
    </w:p>
    <w:p>
      <w:pPr>
        <w:spacing w:before="120" w:after="120" w:line="288" w:lineRule="auto"/>
        <w:ind w:left="0"/>
        <w:jc w:val="left"/>
      </w:pPr>
      <w:r>
        <w:rPr>
          <w:rFonts w:eastAsia="等线" w:ascii="Arial" w:cs="Arial" w:hAnsi="Arial"/>
          <w:sz w:val="22"/>
        </w:rPr>
        <w:t>在实际投资中，宏观数据存在发布时间滞后。增长类和通胀类数据通常不能在当月初即时获得，若直接使用当月增长或通胀信号进行当月配置，可能引入数据不可得问题。</w:t>
      </w:r>
    </w:p>
    <w:p>
      <w:pPr>
        <w:spacing w:before="120" w:after="120" w:line="288" w:lineRule="auto"/>
        <w:ind w:left="0"/>
        <w:jc w:val="left"/>
      </w:pPr>
      <w:r>
        <w:rPr>
          <w:rFonts w:eastAsia="等线" w:ascii="Arial" w:cs="Arial" w:hAnsi="Arial"/>
          <w:sz w:val="22"/>
        </w:rPr>
        <w:t>因此，模型在方向判定中做了信号可得性调整：</w:t>
      </w:r>
    </w:p>
    <w:p>
      <w:pPr>
        <w:spacing w:before="120" w:after="120" w:line="288" w:lineRule="auto"/>
        <w:ind w:left="0"/>
        <w:jc w:val="left"/>
      </w:pPr>
      <w:r>
        <w:rPr>
          <w:rFonts w:eastAsia="等线" w:ascii="Arial" w:cs="Arial" w:hAnsi="Arial"/>
          <w:b w:val="true"/>
          <w:sz w:val="22"/>
        </w:rPr>
        <w:t>增长因子方向使用滞后 1 个月的数据。</w:t>
      </w:r>
    </w:p>
    <w:p>
      <w:pPr>
        <w:spacing w:before="120" w:after="120" w:line="288" w:lineRule="auto"/>
        <w:ind w:left="0"/>
        <w:jc w:val="left"/>
      </w:pPr>
      <w:r>
        <w:rPr>
          <w:rFonts w:eastAsia="等线" w:ascii="Arial" w:cs="Arial" w:hAnsi="Arial"/>
          <w:b w:val="true"/>
          <w:sz w:val="22"/>
        </w:rPr>
        <w:t>通胀因子方向使用滞后 1 个月的数据。</w:t>
      </w:r>
    </w:p>
    <w:p>
      <w:pPr>
        <w:spacing w:before="120" w:after="120" w:line="288" w:lineRule="auto"/>
        <w:ind w:left="0"/>
        <w:jc w:val="left"/>
      </w:pPr>
      <w:r>
        <w:rPr>
          <w:rFonts w:eastAsia="等线" w:ascii="Arial" w:cs="Arial" w:hAnsi="Arial"/>
          <w:b w:val="true"/>
          <w:sz w:val="22"/>
        </w:rPr>
        <w:t>货币因子方向使用当月数据。</w:t>
      </w:r>
    </w:p>
    <w:p>
      <w:pPr>
        <w:spacing w:before="120" w:after="120" w:line="288" w:lineRule="auto"/>
        <w:ind w:left="0"/>
        <w:jc w:val="left"/>
      </w:pPr>
      <w:r>
        <w:rPr>
          <w:rFonts w:eastAsia="等线" w:ascii="Arial" w:cs="Arial" w:hAnsi="Arial"/>
          <w:sz w:val="22"/>
        </w:rPr>
        <w:t>这样设定的原因是，增长和通胀数据大多来自宏观经济统计，发布存在一定滞后；而货币因子基于 1 年期国债收益率，属于市场化利率数据，可观察频率更高、可得性更强，因此可以使用当月信息。</w:t>
      </w:r>
    </w:p>
    <w:p>
      <w:pPr>
        <w:spacing w:before="120" w:after="120" w:line="288" w:lineRule="auto"/>
        <w:ind w:left="0"/>
        <w:jc w:val="left"/>
      </w:pPr>
      <w:r>
        <w:rPr>
          <w:rFonts w:eastAsia="等线" w:ascii="Arial" w:cs="Arial" w:hAnsi="Arial"/>
          <w:sz w:val="22"/>
        </w:rPr>
        <w:t xml:space="preserve">对应到模型中，增长因子和通胀因子的单月斜率均进行了 </w:t>
      </w:r>
      <w:r>
        <w:rPr>
          <w:rFonts w:eastAsia="Consolas" w:ascii="Consolas" w:cs="Consolas" w:hAnsi="Consolas"/>
          <w:sz w:val="22"/>
          <w:shd w:fill="EFF0F1"/>
        </w:rPr>
        <w:t>shift(1)</w:t>
      </w:r>
      <w:r>
        <w:rPr>
          <w:rFonts w:eastAsia="等线" w:ascii="Arial" w:cs="Arial" w:hAnsi="Arial"/>
          <w:sz w:val="22"/>
        </w:rPr>
        <w:t xml:space="preserve"> 处理，而货币因子斜率未进行同样滞后处理。</w:t>
      </w:r>
    </w:p>
    <w:p>
      <w:pPr>
        <w:spacing w:before="120" w:after="120" w:line="288" w:lineRule="auto"/>
        <w:ind w:left="0"/>
        <w:jc w:val="left"/>
      </w:pPr>
      <w:r>
        <w:rPr>
          <w:rFonts w:eastAsia="等线" w:ascii="Arial" w:cs="Arial" w:hAnsi="Arial"/>
          <w:sz w:val="22"/>
        </w:rPr>
        <w:t>这一设计使得宏观状态判断更加贴近真实投资场景，避免因使用尚未发布的数据而造成未来函数。</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0" w:id="30"/>
      <w:r>
        <w:rPr>
          <w:rFonts w:eastAsia="等线" w:ascii="Arial" w:cs="Arial" w:hAnsi="Arial"/>
          <w:b w:val="true"/>
          <w:sz w:val="32"/>
        </w:rPr>
        <w:t>方向信号的平滑：降低单月噪声干扰</w:t>
      </w:r>
      <w:bookmarkEnd w:id="30"/>
    </w:p>
    <w:p>
      <w:pPr>
        <w:spacing w:before="120" w:after="120" w:line="288" w:lineRule="auto"/>
        <w:ind w:left="0"/>
        <w:jc w:val="left"/>
      </w:pPr>
      <w:r>
        <w:rPr>
          <w:rFonts w:eastAsia="等线" w:ascii="Arial" w:cs="Arial" w:hAnsi="Arial"/>
          <w:sz w:val="22"/>
        </w:rPr>
        <w:t>单月因子斜率虽然能够反映边际变化，但也可能受到短期噪声影响。例如，某个月的宏观数据异常波动、商品价格短期冲击、利率单日扰动，都可能导致因子方向发生短暂反转。</w:t>
      </w:r>
    </w:p>
    <w:p>
      <w:pPr>
        <w:spacing w:before="120" w:after="120" w:line="288" w:lineRule="auto"/>
        <w:ind w:left="0"/>
        <w:jc w:val="left"/>
      </w:pPr>
      <w:r>
        <w:rPr>
          <w:rFonts w:eastAsia="等线" w:ascii="Arial" w:cs="Arial" w:hAnsi="Arial"/>
          <w:sz w:val="22"/>
        </w:rPr>
        <w:t>如果模型直接使用单月斜率判断宏观状态，可能会导致组合频繁切换状态，进而产生不必要的调仓和交易成本。</w:t>
      </w:r>
    </w:p>
    <w:p>
      <w:pPr>
        <w:spacing w:before="120" w:after="120" w:line="288" w:lineRule="auto"/>
        <w:ind w:left="0"/>
        <w:jc w:val="left"/>
      </w:pPr>
      <w:r>
        <w:rPr>
          <w:rFonts w:eastAsia="等线" w:ascii="Arial" w:cs="Arial" w:hAnsi="Arial"/>
          <w:sz w:val="22"/>
        </w:rPr>
        <w:t>因此，模型在得到单月斜率后，会进一步对增长、通胀、货币三个方向信号分别进行 Rolling 平滑。平滑后的信号用于最终判断宏观方向。</w:t>
      </w:r>
    </w:p>
    <w:p>
      <w:pPr>
        <w:spacing w:before="120" w:after="120" w:line="288" w:lineRule="auto"/>
        <w:ind w:left="0"/>
        <w:jc w:val="left"/>
      </w:pPr>
      <w:r>
        <w:rPr>
          <w:rFonts w:eastAsia="等线" w:ascii="Arial" w:cs="Arial" w:hAnsi="Arial"/>
          <w:sz w:val="22"/>
        </w:rPr>
        <w:t xml:space="preserve">在最终方案中，模型统一采用 </w:t>
      </w:r>
      <w:r>
        <w:rPr>
          <w:rFonts w:eastAsia="等线" w:ascii="Arial" w:cs="Arial" w:hAnsi="Arial"/>
          <w:b w:val="true"/>
          <w:sz w:val="22"/>
        </w:rPr>
        <w:t>12 个月 Rolling 均值</w:t>
      </w:r>
      <w:r>
        <w:rPr>
          <w:rFonts w:eastAsia="等线" w:ascii="Arial" w:cs="Arial" w:hAnsi="Arial"/>
          <w:sz w:val="22"/>
        </w:rPr>
        <w:t xml:space="preserve"> 对增长、通胀和货币三个方向信号进行平滑，即：</w:t>
      </w:r>
    </w:p>
    <w:p>
      <w:pPr>
        <w:spacing w:before="120" w:after="120" w:line="288" w:lineRule="auto"/>
        <w:ind w:left="0"/>
        <w:jc w:val="left"/>
      </w:pPr>
      <w:r>
        <w:rPr>
          <w:rFonts w:eastAsia="等线" w:ascii="Arial" w:cs="Arial" w:hAnsi="Arial"/>
          <w:b w:val="true"/>
          <w:sz w:val="22"/>
        </w:rPr>
        <w:t>G = 增长因子单月斜率的 12 个月滚动均值</w:t>
      </w:r>
    </w:p>
    <w:p>
      <w:pPr>
        <w:spacing w:before="120" w:after="120" w:line="288" w:lineRule="auto"/>
        <w:ind w:left="0"/>
        <w:jc w:val="left"/>
      </w:pPr>
      <w:r>
        <w:rPr>
          <w:rFonts w:eastAsia="等线" w:ascii="Arial" w:cs="Arial" w:hAnsi="Arial"/>
          <w:b w:val="true"/>
          <w:sz w:val="22"/>
        </w:rPr>
        <w:t>I = 通胀因子单月斜率的 12 个月滚动均值</w:t>
      </w:r>
    </w:p>
    <w:p>
      <w:pPr>
        <w:spacing w:before="120" w:after="120" w:line="288" w:lineRule="auto"/>
        <w:ind w:left="0"/>
        <w:jc w:val="left"/>
      </w:pPr>
      <w:r>
        <w:rPr>
          <w:rFonts w:eastAsia="等线" w:ascii="Arial" w:cs="Arial" w:hAnsi="Arial"/>
          <w:b w:val="true"/>
          <w:sz w:val="22"/>
        </w:rPr>
        <w:t>M = 货币因子单月斜率的 12 个月滚动均值</w:t>
      </w:r>
    </w:p>
    <w:p>
      <w:pPr>
        <w:spacing w:before="120" w:after="120" w:line="288" w:lineRule="auto"/>
        <w:ind w:left="0"/>
        <w:jc w:val="left"/>
      </w:pPr>
      <w:r>
        <w:rPr>
          <w:rFonts w:eastAsia="等线" w:ascii="Arial" w:cs="Arial" w:hAnsi="Arial"/>
          <w:sz w:val="22"/>
        </w:rPr>
        <w:t xml:space="preserve">代码中的主回测框架也采用了 </w:t>
      </w:r>
      <w:r>
        <w:rPr>
          <w:rFonts w:eastAsia="Consolas" w:ascii="Consolas" w:cs="Consolas" w:hAnsi="Consolas"/>
          <w:sz w:val="22"/>
          <w:shd w:fill="EFF0F1"/>
        </w:rPr>
        <w:t>rolling(12).mean()</w:t>
      </w:r>
      <w:r>
        <w:rPr>
          <w:rFonts w:eastAsia="等线" w:ascii="Arial" w:cs="Arial" w:hAnsi="Arial"/>
          <w:sz w:val="22"/>
        </w:rPr>
        <w:t xml:space="preserve"> 来计算增长、通胀和货币三个方向变量，并基于平滑后的 G、I、M 划分普林格周期状态。</w:t>
      </w:r>
    </w:p>
    <w:p>
      <w:pPr>
        <w:spacing w:before="120" w:after="120" w:line="288" w:lineRule="auto"/>
        <w:ind w:left="0"/>
        <w:jc w:val="left"/>
      </w:pPr>
      <w:r>
        <w:rPr>
          <w:rFonts w:eastAsia="等线" w:ascii="Arial" w:cs="Arial" w:hAnsi="Arial"/>
          <w:sz w:val="22"/>
        </w:rPr>
        <w:t>其逻辑可以概括为：</w:t>
      </w:r>
    </w:p>
    <w:p>
      <w:pPr>
        <w:spacing w:before="120" w:after="120" w:line="288" w:lineRule="auto"/>
        <w:ind w:left="0"/>
        <w:jc w:val="left"/>
      </w:pPr>
      <w:r>
        <w:rPr>
          <w:rFonts w:eastAsia="等线" w:ascii="Arial" w:cs="Arial" w:hAnsi="Arial"/>
          <w:b w:val="true"/>
          <w:sz w:val="22"/>
        </w:rPr>
        <w:t>原始因子值 → 单月斜率 → 数据可得性调整 → 12 个月 Rolling 平滑 → 因子方向判定 → 普林格周期状态。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1" w:id="31"/>
      <w:r>
        <w:rPr>
          <w:rFonts w:eastAsia="等线" w:ascii="Arial" w:cs="Arial" w:hAnsi="Arial"/>
          <w:b w:val="true"/>
          <w:sz w:val="32"/>
        </w:rPr>
        <w:t>为什么需要研究 Rolling 窗口</w:t>
      </w:r>
      <w:bookmarkEnd w:id="31"/>
    </w:p>
    <w:p>
      <w:pPr>
        <w:spacing w:before="120" w:after="120" w:line="288" w:lineRule="auto"/>
        <w:ind w:left="0"/>
        <w:jc w:val="left"/>
      </w:pPr>
      <w:r>
        <w:rPr>
          <w:rFonts w:eastAsia="等线" w:ascii="Arial" w:cs="Arial" w:hAnsi="Arial"/>
          <w:sz w:val="22"/>
        </w:rPr>
        <w:t>Rolling 平滑窗口的选择会直接影响宏观状态判断。</w:t>
      </w:r>
    </w:p>
    <w:p>
      <w:pPr>
        <w:spacing w:before="120" w:after="120" w:line="288" w:lineRule="auto"/>
        <w:ind w:left="0"/>
        <w:jc w:val="left"/>
      </w:pPr>
      <w:r>
        <w:rPr>
          <w:rFonts w:eastAsia="等线" w:ascii="Arial" w:cs="Arial" w:hAnsi="Arial"/>
          <w:sz w:val="22"/>
        </w:rPr>
        <w:t>如果窗口过短，信号会非常敏感，容易受到单月数据扰动影响，导致宏观状态频繁切换。</w:t>
      </w:r>
    </w:p>
    <w:p>
      <w:pPr>
        <w:spacing w:before="120" w:after="120" w:line="288" w:lineRule="auto"/>
        <w:ind w:left="0"/>
        <w:jc w:val="left"/>
      </w:pPr>
      <w:r>
        <w:rPr>
          <w:rFonts w:eastAsia="等线" w:ascii="Arial" w:cs="Arial" w:hAnsi="Arial"/>
          <w:sz w:val="22"/>
        </w:rPr>
        <w:t>如果窗口过长，信号会更加稳定，但也可能对宏观拐点反应较慢。</w:t>
      </w:r>
    </w:p>
    <w:p>
      <w:pPr>
        <w:spacing w:before="120" w:after="120" w:line="288" w:lineRule="auto"/>
        <w:ind w:left="0"/>
        <w:jc w:val="left"/>
      </w:pPr>
      <w:r>
        <w:rPr>
          <w:rFonts w:eastAsia="等线" w:ascii="Arial" w:cs="Arial" w:hAnsi="Arial"/>
          <w:sz w:val="22"/>
        </w:rPr>
        <w:t>因此，窗口选择需要在“过滤噪声”和“保留周期拐点”之间取得平衡。本模型并未简单追求某一组历史回测收益最高的参数，而是同时参考了两个维度：</w:t>
      </w:r>
    </w:p>
    <w:p>
      <w:pPr>
        <w:spacing w:before="120" w:after="120" w:line="288" w:lineRule="auto"/>
        <w:ind w:left="0"/>
        <w:jc w:val="left"/>
      </w:pPr>
      <w:r>
        <w:rPr>
          <w:rFonts w:eastAsia="等线" w:ascii="Arial" w:cs="Arial" w:hAnsi="Arial"/>
          <w:sz w:val="22"/>
        </w:rPr>
        <w:t>第一，基于资产胜率的参数寻优结果。</w:t>
      </w:r>
    </w:p>
    <w:p>
      <w:pPr>
        <w:spacing w:before="120" w:after="120" w:line="288" w:lineRule="auto"/>
        <w:ind w:left="0"/>
        <w:jc w:val="left"/>
      </w:pPr>
      <w:r>
        <w:rPr>
          <w:rFonts w:eastAsia="等线" w:ascii="Arial" w:cs="Arial" w:hAnsi="Arial"/>
          <w:sz w:val="22"/>
        </w:rPr>
        <w:t>第二，基于宏观因子自身周期结构的 ACF 与傅里叶频谱分析。</w:t>
      </w:r>
    </w:p>
    <w:p>
      <w:pPr>
        <w:spacing w:before="120" w:after="120" w:line="288" w:lineRule="auto"/>
        <w:ind w:left="0"/>
        <w:jc w:val="left"/>
      </w:pPr>
      <w:r>
        <w:rPr>
          <w:rFonts w:eastAsia="等线" w:ascii="Arial" w:cs="Arial" w:hAnsi="Arial"/>
          <w:sz w:val="22"/>
        </w:rPr>
        <w:t>这种处理方式避免了单纯依赖历史净值曲线进行参数选择，使窗口设定更具可解释性。</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2" w:id="32"/>
      <w:r>
        <w:rPr>
          <w:rFonts w:eastAsia="等线" w:ascii="Arial" w:cs="Arial" w:hAnsi="Arial"/>
          <w:b w:val="true"/>
          <w:sz w:val="32"/>
        </w:rPr>
        <w:t>基于资产胜率的窗口寻优</w:t>
      </w:r>
      <w:bookmarkEnd w:id="32"/>
    </w:p>
    <w:p>
      <w:pPr>
        <w:spacing w:before="120" w:after="120" w:line="288" w:lineRule="auto"/>
        <w:ind w:left="0"/>
        <w:jc w:val="left"/>
      </w:pPr>
      <w:r>
        <w:rPr>
          <w:rFonts w:eastAsia="等线" w:ascii="Arial" w:cs="Arial" w:hAnsi="Arial"/>
          <w:sz w:val="22"/>
        </w:rPr>
        <w:t>模型分别对增长因子、通胀因子和货币因子设置候选 Rolling 窗口，包括 1、3、6、9、12 个月，并遍历所有 G、I、M 窗口组合。</w:t>
      </w:r>
    </w:p>
    <w:p>
      <w:pPr>
        <w:spacing w:before="120" w:after="120" w:line="288" w:lineRule="auto"/>
        <w:ind w:left="0"/>
        <w:jc w:val="left"/>
      </w:pPr>
      <w:r>
        <w:rPr>
          <w:rFonts w:eastAsia="等线" w:ascii="Arial" w:cs="Arial" w:hAnsi="Arial"/>
          <w:sz w:val="22"/>
        </w:rPr>
        <w:t>对于每一组参数，模型都会完成以下步骤：</w:t>
      </w:r>
    </w:p>
    <w:p>
      <w:pPr>
        <w:spacing w:before="120" w:after="120" w:line="288" w:lineRule="auto"/>
        <w:ind w:left="0"/>
        <w:jc w:val="left"/>
      </w:pPr>
      <w:r>
        <w:rPr>
          <w:rFonts w:eastAsia="等线" w:ascii="Arial" w:cs="Arial" w:hAnsi="Arial"/>
          <w:sz w:val="22"/>
        </w:rPr>
        <w:t>第一，分别计算增长、通胀和货币方向信号的滚动均值。</w:t>
      </w:r>
    </w:p>
    <w:p>
      <w:pPr>
        <w:spacing w:before="120" w:after="120" w:line="288" w:lineRule="auto"/>
        <w:ind w:left="0"/>
        <w:jc w:val="left"/>
      </w:pPr>
      <w:r>
        <w:rPr>
          <w:rFonts w:eastAsia="等线" w:ascii="Arial" w:cs="Arial" w:hAnsi="Arial"/>
          <w:sz w:val="22"/>
        </w:rPr>
        <w:t>第二，根据三因子方向组合判定普林格周期阶段。</w:t>
      </w:r>
    </w:p>
    <w:p>
      <w:pPr>
        <w:spacing w:before="120" w:after="120" w:line="288" w:lineRule="auto"/>
        <w:ind w:left="0"/>
        <w:jc w:val="left"/>
      </w:pPr>
      <w:r>
        <w:rPr>
          <w:rFonts w:eastAsia="等线" w:ascii="Arial" w:cs="Arial" w:hAnsi="Arial"/>
          <w:sz w:val="22"/>
        </w:rPr>
        <w:t>第三，根据周期阶段映射下一季度应重仓的核心资产。</w:t>
      </w:r>
    </w:p>
    <w:p>
      <w:pPr>
        <w:spacing w:before="120" w:after="120" w:line="288" w:lineRule="auto"/>
        <w:ind w:left="0"/>
        <w:jc w:val="left"/>
      </w:pPr>
      <w:r>
        <w:rPr>
          <w:rFonts w:eastAsia="等线" w:ascii="Arial" w:cs="Arial" w:hAnsi="Arial"/>
          <w:sz w:val="22"/>
        </w:rPr>
        <w:t>第四，将模型选择的资产与下一季度四类资产的真实收益排名进行比较。</w:t>
      </w:r>
    </w:p>
    <w:p>
      <w:pPr>
        <w:spacing w:before="120" w:after="120" w:line="288" w:lineRule="auto"/>
        <w:ind w:left="0"/>
        <w:jc w:val="left"/>
      </w:pPr>
      <w:r>
        <w:rPr>
          <w:rFonts w:eastAsia="等线" w:ascii="Arial" w:cs="Arial" w:hAnsi="Arial"/>
          <w:sz w:val="22"/>
        </w:rPr>
        <w:t>第五，统计模型选中当季第 1 名资产、前 2 名资产和前 3 名资产的概率。</w:t>
      </w:r>
    </w:p>
    <w:p>
      <w:pPr>
        <w:spacing w:before="120" w:after="120" w:line="288" w:lineRule="auto"/>
        <w:ind w:left="0"/>
        <w:jc w:val="left"/>
      </w:pPr>
      <w:r>
        <w:rPr>
          <w:rFonts w:eastAsia="等线" w:ascii="Arial" w:cs="Arial" w:hAnsi="Arial"/>
          <w:sz w:val="22"/>
        </w:rPr>
        <w:t>在评价标准上，模型重点关注三个胜率：</w:t>
      </w:r>
    </w:p>
    <w:p>
      <w:pPr>
        <w:spacing w:before="120" w:after="120" w:line="288" w:lineRule="auto"/>
        <w:ind w:left="0"/>
        <w:jc w:val="left"/>
      </w:pPr>
      <w:r>
        <w:rPr>
          <w:rFonts w:eastAsia="等线" w:ascii="Arial" w:cs="Arial" w:hAnsi="Arial"/>
          <w:b w:val="true"/>
          <w:sz w:val="22"/>
        </w:rPr>
        <w:t>Top 1 胜率</w:t>
      </w:r>
      <w:r>
        <w:rPr>
          <w:rFonts w:eastAsia="等线" w:ascii="Arial" w:cs="Arial" w:hAnsi="Arial"/>
          <w:sz w:val="22"/>
        </w:rPr>
        <w:t>：模型选中的资产是否为下一季度表现最好的资产。</w:t>
      </w:r>
    </w:p>
    <w:p>
      <w:pPr>
        <w:spacing w:before="120" w:after="120" w:line="288" w:lineRule="auto"/>
        <w:ind w:left="0"/>
        <w:jc w:val="left"/>
      </w:pPr>
      <w:r>
        <w:rPr>
          <w:rFonts w:eastAsia="等线" w:ascii="Arial" w:cs="Arial" w:hAnsi="Arial"/>
          <w:b w:val="true"/>
          <w:sz w:val="22"/>
        </w:rPr>
        <w:t>Top 2 胜率</w:t>
      </w:r>
      <w:r>
        <w:rPr>
          <w:rFonts w:eastAsia="等线" w:ascii="Arial" w:cs="Arial" w:hAnsi="Arial"/>
          <w:sz w:val="22"/>
        </w:rPr>
        <w:t>：模型选中的资产是否进入下一季度表现前两名。由于资产池共有四类资产，进入前两名意味着跑赢全市场平均水平。</w:t>
      </w:r>
    </w:p>
    <w:p>
      <w:pPr>
        <w:spacing w:before="120" w:after="120" w:line="288" w:lineRule="auto"/>
        <w:ind w:left="0"/>
        <w:jc w:val="left"/>
      </w:pPr>
      <w:r>
        <w:rPr>
          <w:rFonts w:eastAsia="等线" w:ascii="Arial" w:cs="Arial" w:hAnsi="Arial"/>
          <w:b w:val="true"/>
          <w:sz w:val="22"/>
        </w:rPr>
        <w:t>Top 3 胜率</w:t>
      </w:r>
      <w:r>
        <w:rPr>
          <w:rFonts w:eastAsia="等线" w:ascii="Arial" w:cs="Arial" w:hAnsi="Arial"/>
          <w:sz w:val="22"/>
        </w:rPr>
        <w:t>：模型选中的资产是否进入下一季度表现前三名。该指标反映模型是否有效避开表现最差的资产。</w:t>
      </w:r>
    </w:p>
    <w:p>
      <w:pPr>
        <w:spacing w:before="120" w:after="120" w:line="288" w:lineRule="auto"/>
        <w:ind w:left="0"/>
        <w:jc w:val="left"/>
      </w:pPr>
      <w:r>
        <w:rPr>
          <w:rFonts w:eastAsia="等线" w:ascii="Arial" w:cs="Arial" w:hAnsi="Arial"/>
          <w:sz w:val="22"/>
        </w:rPr>
        <w:t>代码中也明确将 Top 2 胜率作为主要排序依据，其次参考 Top 1 胜率。</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3" w:id="33"/>
      <w:r>
        <w:rPr>
          <w:rFonts w:eastAsia="等线" w:ascii="Arial" w:cs="Arial" w:hAnsi="Arial"/>
          <w:b w:val="true"/>
          <w:sz w:val="32"/>
        </w:rPr>
        <w:t>参数寻优结果及其解释</w:t>
      </w:r>
      <w:bookmarkEnd w:id="33"/>
    </w:p>
    <w:p>
      <w:pPr>
        <w:spacing w:before="120" w:after="120" w:line="288" w:lineRule="auto"/>
        <w:ind w:left="0"/>
        <w:jc w:val="left"/>
      </w:pPr>
      <w:r>
        <w:rPr>
          <w:rFonts w:eastAsia="等线" w:ascii="Arial" w:cs="Arial" w:hAnsi="Arial"/>
          <w:sz w:val="22"/>
        </w:rPr>
        <w:t>根据当前回测输出，基于资产胜率的参数寻优结果如下：</w:t>
      </w:r>
    </w:p>
    <w:p>
      <w:pPr>
        <w:spacing w:before="120" w:after="120" w:line="288" w:lineRule="auto"/>
        <w:ind w:left="0"/>
      </w:pPr>
      <w:r>
        <w:object>
          <v:shape id="_x0000_i1029" style="width:414pt;height:109pt;mso-width-percent:0;mso-height-percent:0;mso-width-percent:0;mso-height-percent:0" type="#_x0000_t75" o:ole="">
            <v:imagedata r:id="rId17" o:title=""/>
          </v:shape>
          <o:OLEObject DrawAspect="Icon" ObjectID="_1718471223" ProgID="Excel.Sheet.12" ShapeID="_x0000_i1029" Type="Embed" r:id="rId1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从纯胜率角度看，G6-I9-M3 组合在 Top 1 胜率上最高，达到 39.0%；而 G12-I12-M12 组合同样取得了 63.4% 的 Top 2 胜率和 80.5% 的 Top 3 胜率，说明统一 12 个月窗口在资产选择的稳定性上并不弱。</w:t>
      </w:r>
    </w:p>
    <w:p>
      <w:pPr>
        <w:spacing w:before="120" w:after="120" w:line="288" w:lineRule="auto"/>
        <w:ind w:left="0"/>
        <w:jc w:val="left"/>
      </w:pPr>
      <w:r>
        <w:rPr>
          <w:rFonts w:eastAsia="等线" w:ascii="Arial" w:cs="Arial" w:hAnsi="Arial"/>
          <w:sz w:val="22"/>
        </w:rPr>
        <w:t>考虑到模型每期在四类资产中选择一类作为核心重仓资产，随机选中第一名的理论概率约为 25%，随机进入前两名的理论概率约为 50%，随机避开最后一名、进入前三名的理论概率约为 75%。</w:t>
      </w:r>
    </w:p>
    <w:p>
      <w:pPr>
        <w:spacing w:before="120" w:after="120" w:line="288" w:lineRule="auto"/>
        <w:ind w:left="0"/>
        <w:jc w:val="left"/>
      </w:pPr>
      <w:r>
        <w:rPr>
          <w:rFonts w:eastAsia="等线" w:ascii="Arial" w:cs="Arial" w:hAnsi="Arial"/>
          <w:sz w:val="22"/>
        </w:rPr>
        <w:t>因此，无论是 G6-I9-M3，还是 G12-I12-M12，其胜率表现均高于随机水平，说明三因子方向体系具有一定的资产排序能力。</w:t>
      </w:r>
    </w:p>
    <w:p>
      <w:pPr>
        <w:spacing w:before="120" w:after="120" w:line="288" w:lineRule="auto"/>
        <w:ind w:left="0"/>
        <w:jc w:val="left"/>
      </w:pPr>
      <w:r>
        <w:rPr>
          <w:rFonts w:eastAsia="等线" w:ascii="Arial" w:cs="Arial" w:hAnsi="Arial"/>
          <w:sz w:val="22"/>
        </w:rPr>
        <w:t xml:space="preserve">不过，最终模型并未机械选择 Top 1 胜率最高的 G6-I9-M3，而是选择 </w:t>
      </w:r>
      <w:r>
        <w:rPr>
          <w:rFonts w:eastAsia="等线" w:ascii="Arial" w:cs="Arial" w:hAnsi="Arial"/>
          <w:b w:val="true"/>
          <w:sz w:val="22"/>
        </w:rPr>
        <w:t>G12-I12-M12</w:t>
      </w:r>
      <w:r>
        <w:rPr>
          <w:rFonts w:eastAsia="等线" w:ascii="Arial" w:cs="Arial" w:hAnsi="Arial"/>
          <w:sz w:val="22"/>
        </w:rPr>
        <w:t>。这一选择主要基于以下三点考虑：</w:t>
      </w:r>
    </w:p>
    <w:p>
      <w:pPr>
        <w:spacing w:before="120" w:after="120" w:line="288" w:lineRule="auto"/>
        <w:ind w:left="0"/>
        <w:jc w:val="left"/>
      </w:pPr>
      <w:r>
        <w:rPr>
          <w:rFonts w:eastAsia="等线" w:ascii="Arial" w:cs="Arial" w:hAnsi="Arial"/>
          <w:sz w:val="22"/>
        </w:rPr>
        <w:t>第一，G12-I12-M12 的 Top 2 胜率同样达到 63.4%，与最优组合处于同一水平，说明其选中相对优势资产的能力并未明显下降。</w:t>
      </w:r>
    </w:p>
    <w:p>
      <w:pPr>
        <w:spacing w:before="120" w:after="120" w:line="288" w:lineRule="auto"/>
        <w:ind w:left="0"/>
        <w:jc w:val="left"/>
      </w:pPr>
      <w:r>
        <w:rPr>
          <w:rFonts w:eastAsia="等线" w:ascii="Arial" w:cs="Arial" w:hAnsi="Arial"/>
          <w:sz w:val="22"/>
        </w:rPr>
        <w:t>第二，G12-I12-M12 的 Top 3 胜率达到 80.5%，高于 G6-I9-M3 的 78.0%，说明其在避免选中最差资产方面更加稳健。</w:t>
      </w:r>
    </w:p>
    <w:p>
      <w:pPr>
        <w:spacing w:before="120" w:after="120" w:line="288" w:lineRule="auto"/>
        <w:ind w:left="0"/>
        <w:jc w:val="left"/>
      </w:pPr>
      <w:r>
        <w:rPr>
          <w:rFonts w:eastAsia="等线" w:ascii="Arial" w:cs="Arial" w:hAnsi="Arial"/>
          <w:sz w:val="22"/>
        </w:rPr>
        <w:t>第三，统一 12 个月窗口具有更强的逻辑一致性和投资者可解释性。宏观资产配置并不是高频择时，过短窗口虽然可能提高部分样本中的敏感性，但也更容易受到短期扰动影响。12 个月窗口能够更好地刻画宏观变量的中周期变化，更符合中长期资产配置框架。</w:t>
      </w:r>
    </w:p>
    <w:p>
      <w:pPr>
        <w:spacing w:before="120" w:after="120" w:line="288" w:lineRule="auto"/>
        <w:ind w:left="0"/>
        <w:jc w:val="left"/>
      </w:pPr>
      <w:r>
        <w:rPr>
          <w:rFonts w:eastAsia="等线" w:ascii="Arial" w:cs="Arial" w:hAnsi="Arial"/>
          <w:sz w:val="22"/>
        </w:rPr>
        <w:t xml:space="preserve">因此，最终方案选择 </w:t>
      </w:r>
      <w:r>
        <w:rPr>
          <w:rFonts w:eastAsia="等线" w:ascii="Arial" w:cs="Arial" w:hAnsi="Arial"/>
          <w:b w:val="true"/>
          <w:sz w:val="22"/>
        </w:rPr>
        <w:t>G12-I12-M12</w:t>
      </w:r>
      <w:r>
        <w:rPr>
          <w:rFonts w:eastAsia="等线" w:ascii="Arial" w:cs="Arial" w:hAnsi="Arial"/>
          <w:sz w:val="22"/>
        </w:rPr>
        <w:t>，即增长、通胀和货币三个方向信号均采用 12 个月 Rolling 平滑。</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4" w:id="34"/>
      <w:r>
        <w:rPr>
          <w:rFonts w:eastAsia="等线" w:ascii="Arial" w:cs="Arial" w:hAnsi="Arial"/>
          <w:b w:val="true"/>
          <w:sz w:val="32"/>
        </w:rPr>
        <w:t>内在周期测量：用 ACF 与傅里叶频谱验证窗口合理性</w:t>
      </w:r>
      <w:bookmarkEnd w:id="34"/>
    </w:p>
    <w:p>
      <w:pPr>
        <w:spacing w:before="120" w:after="120" w:line="288" w:lineRule="auto"/>
        <w:ind w:left="0"/>
        <w:jc w:val="left"/>
      </w:pPr>
      <w:r>
        <w:rPr>
          <w:rFonts w:eastAsia="等线" w:ascii="Arial" w:cs="Arial" w:hAnsi="Arial"/>
          <w:sz w:val="22"/>
        </w:rPr>
        <w:t>为了避免窗口选择完全依赖历史寻优结果，模型进一步使用数字信号分析方法，对三个宏观因子的内在周期特征进行测量。</w:t>
      </w:r>
    </w:p>
    <w:p>
      <w:pPr>
        <w:spacing w:before="120" w:after="120" w:line="288" w:lineRule="auto"/>
        <w:ind w:left="0"/>
        <w:jc w:val="left"/>
      </w:pPr>
      <w:r>
        <w:rPr>
          <w:rFonts w:eastAsia="等线" w:ascii="Arial" w:cs="Arial" w:hAnsi="Arial"/>
          <w:sz w:val="22"/>
        </w:rPr>
        <w:t>本次分析采用两种方法：</w:t>
      </w:r>
    </w:p>
    <w:p>
      <w:pPr>
        <w:spacing w:before="120" w:after="120" w:line="288" w:lineRule="auto"/>
        <w:ind w:left="0"/>
        <w:jc w:val="left"/>
      </w:pPr>
      <w:r>
        <w:rPr>
          <w:rFonts w:eastAsia="等线" w:ascii="Arial" w:cs="Arial" w:hAnsi="Arial"/>
          <w:sz w:val="22"/>
        </w:rPr>
        <w:t>第一，自相关分析，即 ACF。该方法观察因子序列在不同滞后月份下与自身的相关性。如果某个滞后期出现明显波峰，说明该因子可能存在对应长度的周期特征。</w:t>
      </w:r>
    </w:p>
    <w:p>
      <w:pPr>
        <w:spacing w:before="120" w:after="120" w:line="288" w:lineRule="auto"/>
        <w:ind w:left="0"/>
        <w:jc w:val="left"/>
      </w:pPr>
      <w:r>
        <w:rPr>
          <w:rFonts w:eastAsia="等线" w:ascii="Arial" w:cs="Arial" w:hAnsi="Arial"/>
          <w:sz w:val="22"/>
        </w:rPr>
        <w:t>第二，傅里叶功率谱密度分析，即 PSD。该方法将时间序列从时域转换为频域，观察不同周期长度上信号能量的集中程度。如果某一周期附近能量最高，说明该周期可能是该因子的主要波动周期。</w:t>
      </w:r>
    </w:p>
    <w:p>
      <w:pPr>
        <w:spacing w:before="120" w:after="120" w:line="288" w:lineRule="auto"/>
        <w:ind w:left="0"/>
        <w:jc w:val="left"/>
      </w:pPr>
      <w:r>
        <w:rPr>
          <w:rFonts w:eastAsia="等线" w:ascii="Arial" w:cs="Arial" w:hAnsi="Arial"/>
          <w:sz w:val="22"/>
        </w:rPr>
        <w:t>根据输出结果：</w:t>
      </w:r>
    </w:p>
    <w:p>
      <w:pPr>
        <w:spacing w:before="120" w:after="120" w:line="288" w:lineRule="auto"/>
        <w:ind w:left="0"/>
        <w:jc w:val="center"/>
      </w:pPr>
      <w:r>
        <w:drawing>
          <wp:inline distT="0" distR="0" distB="0" distL="0">
            <wp:extent cx="5257800" cy="39052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8"/>
                    <a:stretch>
                      <a:fillRect/>
                    </a:stretch>
                  </pic:blipFill>
                  <pic:spPr>
                    <a:xfrm>
                      <a:off x="0" y="0"/>
                      <a:ext cx="5257800" cy="3905250"/>
                    </a:xfrm>
                    <a:prstGeom prst="rect">
                      <a:avLst/>
                    </a:prstGeom>
                  </pic:spPr>
                </pic:pic>
              </a:graphicData>
            </a:graphic>
          </wp:inline>
        </w:drawing>
      </w:r>
    </w:p>
    <w:p>
      <w:pPr>
        <w:spacing w:before="120" w:after="120" w:line="288" w:lineRule="auto"/>
        <w:ind w:left="0"/>
      </w:pPr>
      <w:r>
        <w:object>
          <v:shape id="_x0000_i1030" style="width:414pt;height:75pt;mso-width-percent:0;mso-height-percent:0;mso-width-percent:0;mso-height-percent:0" type="#_x0000_t75" o:ole="">
            <v:imagedata r:id="rId20" o:title=""/>
          </v:shape>
          <o:OLEObject DrawAspect="Icon" ObjectID="_1718471224" ProgID="Excel.Sheet.12" ShapeID="_x0000_i1030"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从图形结果看，增长因子和通胀因子在傅里叶频谱上均存在约 44 至 48 个月附近的中周期能量峰值，同时在 ACF 上也表现出约 18 至 26 个月的阶段性自相关特征。这说明增长和通胀变量并非单月噪声主导，而是具有较明显的中周期属性。</w:t>
      </w:r>
    </w:p>
    <w:p>
      <w:pPr>
        <w:spacing w:before="120" w:after="120" w:line="288" w:lineRule="auto"/>
        <w:ind w:left="0"/>
        <w:jc w:val="left"/>
      </w:pPr>
      <w:r>
        <w:rPr>
          <w:rFonts w:eastAsia="等线" w:ascii="Arial" w:cs="Arial" w:hAnsi="Arial"/>
          <w:sz w:val="22"/>
        </w:rPr>
        <w:t>货币因子的傅里叶功率谱密度最高点出现在约 7.2 个月附近，说明短端利率确实存在较快的短周期波动；但从频谱图可以看到，货币因子在约 40 个月附近仍保持较高的功率密度。这意味着货币因子并非只有短周期特征，也存在中周期变化成分。</w:t>
      </w:r>
    </w:p>
    <w:p>
      <w:pPr>
        <w:spacing w:before="120" w:after="120" w:line="288" w:lineRule="auto"/>
        <w:ind w:left="0"/>
        <w:jc w:val="left"/>
      </w:pPr>
      <w:r>
        <w:rPr>
          <w:rFonts w:eastAsia="等线" w:ascii="Arial" w:cs="Arial" w:hAnsi="Arial"/>
          <w:sz w:val="22"/>
        </w:rPr>
        <w:t>因此，若仅依据最高功率点选择货币窗口，M3 具有一定数学依据；但如果从宏观资产配置的角度出发，兼顾货币环境的中周期属性，M12 同样具备合理性。</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 w:id="35"/>
      <w:r>
        <w:rPr>
          <w:rFonts w:eastAsia="等线" w:ascii="Arial" w:cs="Arial" w:hAnsi="Arial"/>
          <w:b w:val="true"/>
          <w:sz w:val="32"/>
        </w:rPr>
        <w:t>为什么最终采用 12-12-12 窗口</w:t>
      </w:r>
      <w:bookmarkEnd w:id="35"/>
    </w:p>
    <w:p>
      <w:pPr>
        <w:spacing w:before="120" w:after="120" w:line="288" w:lineRule="auto"/>
        <w:ind w:left="0"/>
        <w:jc w:val="left"/>
      </w:pPr>
      <w:r>
        <w:rPr>
          <w:rFonts w:eastAsia="等线" w:ascii="Arial" w:cs="Arial" w:hAnsi="Arial"/>
          <w:sz w:val="22"/>
        </w:rPr>
        <w:t xml:space="preserve">最终模型采用 </w:t>
      </w:r>
      <w:r>
        <w:rPr>
          <w:rFonts w:eastAsia="等线" w:ascii="Arial" w:cs="Arial" w:hAnsi="Arial"/>
          <w:b w:val="true"/>
          <w:sz w:val="22"/>
        </w:rPr>
        <w:t>G12-I12-M12</w:t>
      </w:r>
      <w:r>
        <w:rPr>
          <w:rFonts w:eastAsia="等线" w:ascii="Arial" w:cs="Arial" w:hAnsi="Arial"/>
          <w:sz w:val="22"/>
        </w:rPr>
        <w:t>，并不是忽视参数寻优结果，而是在“理论参数”“周期结构”和“投资逻辑解释”之间进行综合权衡后的选择。</w:t>
      </w:r>
    </w:p>
    <w:p>
      <w:pPr>
        <w:spacing w:before="120" w:after="120" w:line="288" w:lineRule="auto"/>
        <w:ind w:left="0"/>
        <w:jc w:val="left"/>
      </w:pPr>
      <w:r>
        <w:rPr>
          <w:rFonts w:eastAsia="等线" w:ascii="Arial" w:cs="Arial" w:hAnsi="Arial"/>
          <w:sz w:val="22"/>
        </w:rPr>
        <w:t>从理论参数看，增长因子的 ACF 周期约为 18 个月，通胀因子的 ACF 周期约为 26 个月，货币因子的 ACF 周期约为 15 个月。12 个月窗口虽然略长于主周期的 1/3，但仍处于能够反映中周期变化的合理区间。</w:t>
      </w:r>
    </w:p>
    <w:p>
      <w:pPr>
        <w:spacing w:before="120" w:after="120" w:line="288" w:lineRule="auto"/>
        <w:ind w:left="0"/>
        <w:jc w:val="left"/>
      </w:pPr>
      <w:r>
        <w:rPr>
          <w:rFonts w:eastAsia="等线" w:ascii="Arial" w:cs="Arial" w:hAnsi="Arial"/>
          <w:sz w:val="22"/>
        </w:rPr>
        <w:t>从傅里叶频谱看，增长因子和通胀因子的最大能量周期分别约为 48.3 个月和 44.3 个月。12 个月窗口约为其主导中周期的 1/4，符合“平滑窗口可取主周期 1/4 至 1/3”的信号处理经验。</w:t>
      </w:r>
    </w:p>
    <w:p>
      <w:pPr>
        <w:spacing w:before="120" w:after="120" w:line="288" w:lineRule="auto"/>
        <w:ind w:left="0"/>
        <w:jc w:val="left"/>
      </w:pPr>
      <w:r>
        <w:rPr>
          <w:rFonts w:eastAsia="等线" w:ascii="Arial" w:cs="Arial" w:hAnsi="Arial"/>
          <w:sz w:val="22"/>
        </w:rPr>
        <w:t>对于货币因子，虽然最大能量点位于 7.2 个月附近，但其在 40 个月附近仍存在较高功率密度，说明货币环境也存在较明显的中周期波动。12 个月窗口对应 40 个月周期的约 1/3，能够兼顾短端利率的周期平滑与宏观货币环境的中期趋势识别。</w:t>
      </w:r>
    </w:p>
    <w:p>
      <w:pPr>
        <w:spacing w:before="120" w:after="120" w:line="288" w:lineRule="auto"/>
        <w:ind w:left="0"/>
        <w:jc w:val="left"/>
      </w:pPr>
      <w:r>
        <w:rPr>
          <w:rFonts w:eastAsia="等线" w:ascii="Arial" w:cs="Arial" w:hAnsi="Arial"/>
          <w:sz w:val="22"/>
        </w:rPr>
        <w:t>从投资逻辑看，宏观资产配置并不追求对每一次短期波动进行快速响应，而更强调稳定识别宏观环境的主导方向。统一使用 12 个月窗口，有利于减少因子间参数差异带来的解释复杂度，也更符合投资者对“年度维度宏观趋势”的理解。</w:t>
      </w:r>
    </w:p>
    <w:p>
      <w:pPr>
        <w:spacing w:before="120" w:after="120" w:line="288" w:lineRule="auto"/>
        <w:ind w:left="0"/>
        <w:jc w:val="left"/>
      </w:pPr>
      <w:r>
        <w:rPr>
          <w:rFonts w:eastAsia="等线" w:ascii="Arial" w:cs="Arial" w:hAnsi="Arial"/>
          <w:sz w:val="22"/>
        </w:rPr>
        <w:t xml:space="preserve">因此，最终选择 </w:t>
      </w:r>
      <w:r>
        <w:rPr>
          <w:rFonts w:eastAsia="等线" w:ascii="Arial" w:cs="Arial" w:hAnsi="Arial"/>
          <w:b w:val="true"/>
          <w:sz w:val="22"/>
        </w:rPr>
        <w:t>12-12-12</w:t>
      </w:r>
      <w:r>
        <w:rPr>
          <w:rFonts w:eastAsia="等线" w:ascii="Arial" w:cs="Arial" w:hAnsi="Arial"/>
          <w:sz w:val="22"/>
        </w:rPr>
        <w:t xml:space="preserve"> 作为三因子方向判定窗口，体现了以下取舍：</w:t>
      </w:r>
    </w:p>
    <w:p>
      <w:pPr>
        <w:spacing w:before="120" w:after="120" w:line="288" w:lineRule="auto"/>
        <w:ind w:left="0"/>
        <w:jc w:val="left"/>
      </w:pPr>
      <w:r>
        <w:rPr>
          <w:rFonts w:eastAsia="等线" w:ascii="Arial" w:cs="Arial" w:hAnsi="Arial"/>
          <w:b w:val="true"/>
          <w:sz w:val="22"/>
        </w:rPr>
        <w:t>不追求单一历史样本下 Top 1 胜率最高，而是追求信号稳定性、逻辑一致性和中长期配置可解释性。</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 w:id="36"/>
      <w:r>
        <w:rPr>
          <w:rFonts w:eastAsia="等线" w:ascii="Arial" w:cs="Arial" w:hAnsi="Arial"/>
          <w:b w:val="true"/>
          <w:sz w:val="32"/>
        </w:rPr>
        <w:t>最终方向判定规则</w:t>
      </w:r>
      <w:bookmarkEnd w:id="36"/>
    </w:p>
    <w:p>
      <w:pPr>
        <w:spacing w:before="120" w:after="120" w:line="288" w:lineRule="auto"/>
        <w:ind w:left="0"/>
        <w:jc w:val="left"/>
      </w:pPr>
      <w:r>
        <w:rPr>
          <w:rFonts w:eastAsia="等线" w:ascii="Arial" w:cs="Arial" w:hAnsi="Arial"/>
          <w:sz w:val="22"/>
        </w:rPr>
        <w:t>综合资产胜率寻优和内在周期测量结果，模型最终采用以下方向判定规则：</w:t>
      </w:r>
    </w:p>
    <w:p>
      <w:pPr>
        <w:spacing w:before="120" w:after="120" w:line="288" w:lineRule="auto"/>
        <w:ind w:left="0"/>
      </w:pPr>
      <w:r>
        <w:object>
          <v:shape id="_x0000_i1031" style="width:414pt;height:177pt;mso-width-percent:0;mso-height-percent:0;mso-width-percent:0;mso-height-percent:0" type="#_x0000_t75" o:ole="">
            <v:imagedata r:id="rId22" o:title=""/>
          </v:shape>
          <o:OLEObject DrawAspect="Icon" ObjectID="_1718471225" ProgID="Excel.Sheet.12" ShapeID="_x0000_i1031"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因此，因子方向判定并不是简单观察因子水平的正负，而是观察因子的边际变化趋势，并通过 12 个月 Rolling 平滑得到更稳定、更适合中长期资产配置的宏观方向信号。</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7" w:id="37"/>
      <w:r>
        <w:rPr>
          <w:rFonts w:eastAsia="等线" w:ascii="Arial" w:cs="Arial" w:hAnsi="Arial"/>
          <w:b w:val="true"/>
          <w:sz w:val="32"/>
        </w:rPr>
        <w:t>小结</w:t>
      </w:r>
      <w:bookmarkEnd w:id="37"/>
    </w:p>
    <w:p>
      <w:pPr>
        <w:spacing w:before="120" w:after="120" w:line="288" w:lineRule="auto"/>
        <w:ind w:left="0"/>
        <w:jc w:val="left"/>
      </w:pPr>
      <w:r>
        <w:rPr>
          <w:rFonts w:eastAsia="等线" w:ascii="Arial" w:cs="Arial" w:hAnsi="Arial"/>
          <w:sz w:val="22"/>
        </w:rPr>
        <w:t>因子合成解决的是“如何得到增长、通胀、货币三个宏观信号”的问题，而因子方向判定解决的是“如何将连续因子转化为可用于资产配置的宏观状态”的问题。</w:t>
      </w:r>
    </w:p>
    <w:p>
      <w:pPr>
        <w:spacing w:before="120" w:after="120" w:line="288" w:lineRule="auto"/>
        <w:ind w:left="0"/>
        <w:jc w:val="left"/>
      </w:pPr>
      <w:r>
        <w:rPr>
          <w:rFonts w:eastAsia="等线" w:ascii="Arial" w:cs="Arial" w:hAnsi="Arial"/>
          <w:sz w:val="22"/>
        </w:rPr>
        <w:t>本模型通过单月差分提取因子方向，通过数据滞后处理保证信号可得性，通过 12 个月 Rolling 平滑降低短期噪声，并进一步使用资产胜率寻优与 ACF/傅里叶周期分析验证窗口选择的合理性。</w:t>
      </w:r>
    </w:p>
    <w:p>
      <w:pPr>
        <w:spacing w:before="120" w:after="120" w:line="288" w:lineRule="auto"/>
        <w:ind w:left="0"/>
        <w:jc w:val="left"/>
      </w:pPr>
      <w:r>
        <w:rPr>
          <w:rFonts w:eastAsia="等线" w:ascii="Arial" w:cs="Arial" w:hAnsi="Arial"/>
          <w:sz w:val="22"/>
        </w:rPr>
        <w:t>虽然纯胜率寻优结果中 G6-I9-M3 的 Top 1 胜率最高，但 G12-I12-M12 在 Top 2 和 Top 3 胜率上同样表现稳健，并且在宏观周期解释、信号稳定性和投资者理解层面更具优势。</w:t>
      </w:r>
    </w:p>
    <w:p>
      <w:pPr>
        <w:spacing w:before="120" w:after="120" w:line="288" w:lineRule="auto"/>
        <w:ind w:left="0"/>
        <w:jc w:val="left"/>
      </w:pPr>
      <w:r>
        <w:rPr>
          <w:rFonts w:eastAsia="等线" w:ascii="Arial" w:cs="Arial" w:hAnsi="Arial"/>
          <w:sz w:val="22"/>
        </w:rPr>
        <w:t xml:space="preserve">因此，最终采用 </w:t>
      </w:r>
      <w:r>
        <w:rPr>
          <w:rFonts w:eastAsia="等线" w:ascii="Arial" w:cs="Arial" w:hAnsi="Arial"/>
          <w:b w:val="true"/>
          <w:sz w:val="22"/>
        </w:rPr>
        <w:t>12-12-12</w:t>
      </w:r>
      <w:r>
        <w:rPr>
          <w:rFonts w:eastAsia="等线" w:ascii="Arial" w:cs="Arial" w:hAnsi="Arial"/>
          <w:sz w:val="22"/>
        </w:rPr>
        <w:t xml:space="preserve"> 作为三因子方向判定窗口。这一设定兼顾了数学分析结果和投资逻辑解释，使三因子框架更适合用于中长期宏观资产配置。</w:t>
      </w: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67058">
    <w:lvl>
      <w:numFmt w:val="bullet"/>
      <w:suff w:val="tab"/>
      <w:lvlText w:val="•"/>
      <w:rPr>
        <w:color w:val="3370ff"/>
      </w:rPr>
    </w:lvl>
  </w:abstractNum>
  <w:abstractNum w:abstractNumId="1067059">
    <w:lvl>
      <w:numFmt w:val="bullet"/>
      <w:suff w:val="tab"/>
      <w:lvlText w:val="•"/>
      <w:rPr>
        <w:color w:val="3370ff"/>
      </w:rPr>
    </w:lvl>
  </w:abstractNum>
  <w:abstractNum w:abstractNumId="1067060">
    <w:lvl>
      <w:numFmt w:val="bullet"/>
      <w:suff w:val="tab"/>
      <w:lvlText w:val="•"/>
      <w:rPr>
        <w:color w:val="3370ff"/>
      </w:rPr>
    </w:lvl>
  </w:abstractNum>
  <w:abstractNum w:abstractNumId="1067061">
    <w:lvl>
      <w:start w:val="1"/>
      <w:numFmt w:val="decimal"/>
      <w:suff w:val="tab"/>
      <w:lvlText w:val="%1."/>
      <w:rPr>
        <w:color w:val="3370ff"/>
      </w:rPr>
    </w:lvl>
  </w:abstractNum>
  <w:abstractNum w:abstractNumId="1067062">
    <w:lvl>
      <w:start w:val="2"/>
      <w:numFmt w:val="decimal"/>
      <w:suff w:val="tab"/>
      <w:lvlText w:val="%1."/>
      <w:rPr>
        <w:color w:val="3370ff"/>
      </w:rPr>
    </w:lvl>
  </w:abstractNum>
  <w:abstractNum w:abstractNumId="1067063">
    <w:lvl>
      <w:start w:val="3"/>
      <w:numFmt w:val="decimal"/>
      <w:suff w:val="tab"/>
      <w:lvlText w:val="%1."/>
      <w:rPr>
        <w:color w:val="3370ff"/>
      </w:rPr>
    </w:lvl>
  </w:abstractNum>
  <w:abstractNum w:abstractNumId="1067064">
    <w:lvl>
      <w:start w:val="4"/>
      <w:numFmt w:val="decimal"/>
      <w:suff w:val="tab"/>
      <w:lvlText w:val="%1."/>
      <w:rPr>
        <w:color w:val="3370ff"/>
      </w:rPr>
    </w:lvl>
  </w:abstractNum>
  <w:abstractNum w:abstractNumId="1067065">
    <w:lvl>
      <w:start w:val="5"/>
      <w:numFmt w:val="decimal"/>
      <w:suff w:val="tab"/>
      <w:lvlText w:val="%1."/>
      <w:rPr>
        <w:color w:val="3370ff"/>
      </w:rPr>
    </w:lvl>
  </w:abstractNum>
  <w:abstractNum w:abstractNumId="1067066">
    <w:lvl>
      <w:start w:val="6"/>
      <w:numFmt w:val="decimal"/>
      <w:suff w:val="tab"/>
      <w:lvlText w:val="%1."/>
      <w:rPr>
        <w:color w:val="3370ff"/>
      </w:rPr>
    </w:lvl>
  </w:abstractNum>
  <w:num w:numId="1">
    <w:abstractNumId w:val="1067058"/>
  </w:num>
  <w:num w:numId="2">
    <w:abstractNumId w:val="1067059"/>
  </w:num>
  <w:num w:numId="3">
    <w:abstractNumId w:val="1067060"/>
  </w:num>
  <w:num w:numId="4">
    <w:abstractNumId w:val="1067061"/>
  </w:num>
  <w:num w:numId="5">
    <w:abstractNumId w:val="1067062"/>
  </w:num>
  <w:num w:numId="6">
    <w:abstractNumId w:val="1067063"/>
  </w:num>
  <w:num w:numId="7">
    <w:abstractNumId w:val="1067064"/>
  </w:num>
  <w:num w:numId="8">
    <w:abstractNumId w:val="1067065"/>
  </w:num>
  <w:num w:numId="9">
    <w:abstractNumId w:val="106706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embeddings/Microsoft_Excel_Worksheet4.xlsx" Type="http://schemas.openxmlformats.org/officeDocument/2006/relationships/package"/><Relationship Id="rId15" Target="media/image7.png" Type="http://schemas.openxmlformats.org/officeDocument/2006/relationships/image"/><Relationship Id="rId16" Target="embeddings/Microsoft_Excel_Worksheet5.xlsx" Type="http://schemas.openxmlformats.org/officeDocument/2006/relationships/package"/><Relationship Id="rId17" Target="media/image8.png" Type="http://schemas.openxmlformats.org/officeDocument/2006/relationships/image"/><Relationship Id="rId18" Target="media/image9.png" Type="http://schemas.openxmlformats.org/officeDocument/2006/relationships/image"/><Relationship Id="rId19" Target="embeddings/Microsoft_Excel_Worksheet6.xlsx" Type="http://schemas.openxmlformats.org/officeDocument/2006/relationships/package"/><Relationship Id="rId2" Target="styles.xml" Type="http://schemas.openxmlformats.org/officeDocument/2006/relationships/styles"/><Relationship Id="rId20" Target="media/image10.png" Type="http://schemas.openxmlformats.org/officeDocument/2006/relationships/image"/><Relationship Id="rId21" Target="embeddings/Microsoft_Excel_Worksheet7.xlsx" Type="http://schemas.openxmlformats.org/officeDocument/2006/relationships/package"/><Relationship Id="rId22" Target="media/image11.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media/image2.png" Type="http://schemas.openxmlformats.org/officeDocument/2006/relationships/image"/><Relationship Id="rId8" Target="embeddings/Microsoft_Excel_Worksheet2.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2026-05-14T09:13:02Z</dcterms:created>
  <dc:creator>Apache POI</dc:creator>
</cp:coreProperties>
</file>