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CA17B">
      <w:pPr>
        <w:spacing w:before="380" w:after="140" w:line="288" w:lineRule="auto"/>
        <w:ind w:left="0"/>
        <w:jc w:val="left"/>
        <w:outlineLvl w:val="0"/>
      </w:pPr>
      <w:bookmarkStart w:id="0" w:name="heading_109"/>
      <w:r>
        <w:rPr>
          <w:rFonts w:ascii="Arial" w:hAnsi="Arial" w:eastAsia="等线" w:cs="Arial"/>
          <w:b/>
          <w:sz w:val="36"/>
        </w:rPr>
        <w:t>普林格周期模型</w:t>
      </w:r>
      <w:bookmarkEnd w:id="0"/>
    </w:p>
    <w:p w14:paraId="6ED7F455">
      <w:pPr>
        <w:spacing w:before="320" w:after="120" w:line="288" w:lineRule="auto"/>
        <w:ind w:left="0"/>
        <w:jc w:val="left"/>
        <w:outlineLvl w:val="1"/>
      </w:pPr>
      <w:bookmarkStart w:id="1" w:name="heading_110"/>
      <w:r>
        <w:rPr>
          <w:rFonts w:ascii="Arial" w:hAnsi="Arial" w:eastAsia="等线" w:cs="Arial"/>
          <w:b/>
          <w:color w:val="245BDB"/>
          <w:sz w:val="32"/>
        </w:rPr>
        <w:t>（一）历史背景</w:t>
      </w:r>
      <w:bookmarkEnd w:id="1"/>
    </w:p>
    <w:p w14:paraId="72B3FE3A">
      <w:pPr>
        <w:spacing w:before="120" w:after="120" w:line="288" w:lineRule="auto"/>
        <w:ind w:left="0"/>
        <w:jc w:val="left"/>
      </w:pPr>
      <w:r>
        <w:rPr>
          <w:rFonts w:ascii="Arial" w:hAnsi="Arial" w:eastAsia="等线" w:cs="Arial"/>
          <w:b/>
          <w:sz w:val="22"/>
        </w:rPr>
        <w:t>普林格周期模型（Pring Business Cycle）的提出，并非是学院派经济学家在象牙塔中的理论推演，而是实战派技术分析师</w:t>
      </w:r>
      <w:r>
        <w:rPr>
          <w:rFonts w:ascii="Arial" w:hAnsi="Arial" w:eastAsia="等线" w:cs="Arial"/>
          <w:sz w:val="22"/>
        </w:rPr>
        <w:t>为了应对当时日益复杂的金融市场，特别是为了解决</w:t>
      </w:r>
      <w:r>
        <w:rPr>
          <w:rFonts w:ascii="Arial" w:hAnsi="Arial" w:eastAsia="等线" w:cs="Arial"/>
          <w:b/>
          <w:sz w:val="22"/>
        </w:rPr>
        <w:t>单一资产分析的局限性</w:t>
      </w:r>
      <w:r>
        <w:rPr>
          <w:rFonts w:ascii="Arial" w:hAnsi="Arial" w:eastAsia="等线" w:cs="Arial"/>
          <w:sz w:val="22"/>
        </w:rPr>
        <w:t>而产生的。</w:t>
      </w:r>
    </w:p>
    <w:p w14:paraId="16CA9A96">
      <w:pPr>
        <w:spacing w:before="120" w:after="120" w:line="288" w:lineRule="auto"/>
        <w:ind w:left="0"/>
        <w:jc w:val="left"/>
      </w:pPr>
      <w:r>
        <w:rPr>
          <w:rFonts w:ascii="Arial" w:hAnsi="Arial" w:eastAsia="等线" w:cs="Arial"/>
          <w:sz w:val="22"/>
        </w:rPr>
        <w:t xml:space="preserve">它主要是由 </w:t>
      </w:r>
      <w:r>
        <w:rPr>
          <w:rFonts w:ascii="Arial" w:hAnsi="Arial" w:eastAsia="等线" w:cs="Arial"/>
          <w:b/>
          <w:sz w:val="22"/>
        </w:rPr>
        <w:t>马丁·普林格（Martin J. Pring）</w:t>
      </w:r>
      <w:r>
        <w:rPr>
          <w:rFonts w:ascii="Arial" w:hAnsi="Arial" w:eastAsia="等线" w:cs="Arial"/>
          <w:sz w:val="22"/>
        </w:rPr>
        <w:t xml:space="preserve"> 在 20 世纪 70 年代末到 80 年代初逐步形成并完善的。</w:t>
      </w:r>
    </w:p>
    <w:p w14:paraId="5759D935">
      <w:pPr>
        <w:spacing w:before="120" w:after="120" w:line="288" w:lineRule="auto"/>
        <w:ind w:left="0"/>
        <w:jc w:val="left"/>
      </w:pPr>
      <w:r>
        <w:rPr>
          <w:rFonts w:ascii="Arial" w:hAnsi="Arial" w:eastAsia="等线" w:cs="Arial"/>
          <w:sz w:val="22"/>
        </w:rPr>
        <w:t>以下为你详细阐述其提出的</w:t>
      </w:r>
      <w:r>
        <w:rPr>
          <w:rFonts w:ascii="Arial" w:hAnsi="Arial" w:eastAsia="等线" w:cs="Arial"/>
          <w:b/>
          <w:sz w:val="22"/>
        </w:rPr>
        <w:t>历史背景</w:t>
      </w:r>
      <w:r>
        <w:rPr>
          <w:rFonts w:ascii="Arial" w:hAnsi="Arial" w:eastAsia="等线" w:cs="Arial"/>
          <w:sz w:val="22"/>
        </w:rPr>
        <w:t>以及当时试图解决的</w:t>
      </w:r>
      <w:r>
        <w:rPr>
          <w:rFonts w:ascii="Arial" w:hAnsi="Arial" w:eastAsia="等线" w:cs="Arial"/>
          <w:b/>
          <w:sz w:val="22"/>
        </w:rPr>
        <w:t>核心痛点</w:t>
      </w:r>
      <w:r>
        <w:rPr>
          <w:rFonts w:ascii="Arial" w:hAnsi="Arial" w:eastAsia="等线" w:cs="Arial"/>
          <w:sz w:val="22"/>
        </w:rPr>
        <w:t>：</w:t>
      </w:r>
    </w:p>
    <w:p w14:paraId="4FE2D5E8">
      <w:pPr>
        <w:spacing w:before="300" w:after="120" w:line="288" w:lineRule="auto"/>
        <w:ind w:left="0"/>
        <w:jc w:val="left"/>
        <w:outlineLvl w:val="2"/>
      </w:pPr>
      <w:bookmarkStart w:id="2" w:name="heading_111"/>
      <w:r>
        <w:rPr>
          <w:rFonts w:ascii="Arial" w:hAnsi="Arial" w:eastAsia="等线" w:cs="Arial"/>
          <w:color w:val="3370FF"/>
          <w:sz w:val="30"/>
        </w:rPr>
        <w:t xml:space="preserve">1. </w:t>
      </w:r>
      <w:r>
        <w:rPr>
          <w:rFonts w:ascii="Arial" w:hAnsi="Arial" w:eastAsia="等线" w:cs="Arial"/>
          <w:b/>
          <w:sz w:val="30"/>
        </w:rPr>
        <w:t>时代背景：动荡的 70 年代与“滞胀”的冲击</w:t>
      </w:r>
      <w:bookmarkEnd w:id="2"/>
    </w:p>
    <w:p w14:paraId="3BCF3B19">
      <w:pPr>
        <w:spacing w:before="120" w:after="120" w:line="288" w:lineRule="auto"/>
        <w:ind w:left="0"/>
        <w:jc w:val="left"/>
      </w:pPr>
      <w:r>
        <w:rPr>
          <w:rFonts w:ascii="Arial" w:hAnsi="Arial" w:eastAsia="等线" w:cs="Arial"/>
          <w:sz w:val="22"/>
        </w:rPr>
        <w:t xml:space="preserve">要理解普林格模型，必须回到 </w:t>
      </w:r>
      <w:r>
        <w:rPr>
          <w:rFonts w:ascii="Arial" w:hAnsi="Arial" w:eastAsia="等线" w:cs="Arial"/>
          <w:b/>
          <w:sz w:val="22"/>
        </w:rPr>
        <w:t>20 世纪 70 年代的美国金融市场</w:t>
      </w:r>
      <w:r>
        <w:rPr>
          <w:rFonts w:ascii="Arial" w:hAnsi="Arial" w:eastAsia="等线" w:cs="Arial"/>
          <w:sz w:val="22"/>
        </w:rPr>
        <w:t>。那是二战后金融秩序最混乱、波动最剧烈的时期之一。</w:t>
      </w:r>
    </w:p>
    <w:p w14:paraId="302A4FB1">
      <w:pPr>
        <w:numPr>
          <w:ilvl w:val="0"/>
          <w:numId w:val="1"/>
        </w:numPr>
        <w:spacing w:before="120" w:after="120" w:line="288" w:lineRule="auto"/>
        <w:ind w:left="0"/>
        <w:jc w:val="left"/>
      </w:pPr>
      <w:r>
        <w:rPr>
          <w:rFonts w:ascii="Arial" w:hAnsi="Arial" w:eastAsia="等线" w:cs="Arial"/>
          <w:b/>
          <w:sz w:val="22"/>
        </w:rPr>
        <w:t>旧经验失效</w:t>
      </w:r>
      <w:r>
        <w:rPr>
          <w:rFonts w:ascii="Arial" w:hAnsi="Arial" w:eastAsia="等线" w:cs="Arial"/>
          <w:sz w:val="22"/>
        </w:rPr>
        <w:t>：在 50-60 年代，经济增长通常伴随着温和通胀，股票是最好的资产。但到了 70 年代，美国遭遇了严重的“滞胀”（经济停滞+高通胀）。</w:t>
      </w:r>
    </w:p>
    <w:p w14:paraId="12E2D2D4">
      <w:pPr>
        <w:numPr>
          <w:ilvl w:val="0"/>
          <w:numId w:val="2"/>
        </w:numPr>
        <w:spacing w:before="120" w:after="120" w:line="288" w:lineRule="auto"/>
        <w:ind w:left="0"/>
        <w:jc w:val="left"/>
      </w:pPr>
      <w:r>
        <w:rPr>
          <w:rFonts w:ascii="Arial" w:hAnsi="Arial" w:eastAsia="等线" w:cs="Arial"/>
          <w:b/>
          <w:sz w:val="22"/>
        </w:rPr>
        <w:t>股债双杀</w:t>
      </w:r>
      <w:r>
        <w:rPr>
          <w:rFonts w:ascii="Arial" w:hAnsi="Arial" w:eastAsia="等线" w:cs="Arial"/>
          <w:sz w:val="22"/>
        </w:rPr>
        <w:t>：传统的“股债平衡策略”（60/40组合）在 70 年代遭到了毁灭性打击。通胀高企导致债券暴跌，而经济停滞导致股票暴跌。投资者发现，手里拿着股票和债券都赚不到钱，</w:t>
      </w:r>
      <w:r>
        <w:rPr>
          <w:rFonts w:ascii="Arial" w:hAnsi="Arial" w:eastAsia="等线" w:cs="Arial"/>
          <w:color w:val="D83931"/>
          <w:sz w:val="22"/>
        </w:rPr>
        <w:t>反而是以前不被主流资金看重的大宗商品（黄金、石油）一飞冲天</w:t>
      </w:r>
      <w:r>
        <w:rPr>
          <w:rFonts w:ascii="Arial" w:hAnsi="Arial" w:eastAsia="等线" w:cs="Arial"/>
          <w:sz w:val="22"/>
        </w:rPr>
        <w:t>。</w:t>
      </w:r>
    </w:p>
    <w:p w14:paraId="09B1BEB4">
      <w:pPr>
        <w:numPr>
          <w:ilvl w:val="0"/>
          <w:numId w:val="3"/>
        </w:numPr>
        <w:spacing w:before="120" w:after="120" w:line="288" w:lineRule="auto"/>
        <w:ind w:left="0"/>
        <w:jc w:val="left"/>
      </w:pPr>
      <w:r>
        <w:rPr>
          <w:rFonts w:ascii="Arial" w:hAnsi="Arial" w:eastAsia="等线" w:cs="Arial"/>
          <w:b/>
          <w:sz w:val="22"/>
        </w:rPr>
        <w:t>利率管制的解除</w:t>
      </w:r>
      <w:r>
        <w:rPr>
          <w:rFonts w:ascii="Arial" w:hAnsi="Arial" w:eastAsia="等线" w:cs="Arial"/>
          <w:sz w:val="22"/>
        </w:rPr>
        <w:t>：70 年代末到 80 年代初，美国开始利率市场化改革，美联储主席保罗·沃尔克（Paul Volcker）为了抗击通胀大幅提升利率。这使得利率（债券价格）成为了驱动市场的核心变量。</w:t>
      </w:r>
    </w:p>
    <w:p w14:paraId="7F5228D8">
      <w:pPr>
        <w:spacing w:before="120" w:after="120" w:line="288" w:lineRule="auto"/>
        <w:ind w:left="0"/>
        <w:jc w:val="left"/>
      </w:pPr>
      <w:r>
        <w:rPr>
          <w:rFonts w:ascii="Arial" w:hAnsi="Arial" w:eastAsia="等线" w:cs="Arial"/>
          <w:b/>
          <w:sz w:val="22"/>
        </w:rPr>
        <w:t>背景总结：</w:t>
      </w:r>
      <w:r>
        <w:rPr>
          <w:rFonts w:ascii="Arial" w:hAnsi="Arial" w:eastAsia="等线" w:cs="Arial"/>
          <w:sz w:val="22"/>
        </w:rPr>
        <w:t xml:space="preserve"> 市场环境从“低通胀、高增长”变成了“高通胀、高波动”，投资者急需一套能解释</w:t>
      </w:r>
      <w:r>
        <w:rPr>
          <w:rFonts w:ascii="Arial" w:hAnsi="Arial" w:eastAsia="等线" w:cs="Arial"/>
          <w:b/>
          <w:sz w:val="22"/>
        </w:rPr>
        <w:t>为什么股票和债券同时跌</w:t>
      </w:r>
      <w:r>
        <w:rPr>
          <w:rFonts w:ascii="Arial" w:hAnsi="Arial" w:eastAsia="等线" w:cs="Arial"/>
          <w:sz w:val="22"/>
        </w:rPr>
        <w:t>，以及</w:t>
      </w:r>
      <w:r>
        <w:rPr>
          <w:rFonts w:ascii="Arial" w:hAnsi="Arial" w:eastAsia="等线" w:cs="Arial"/>
          <w:b/>
          <w:sz w:val="22"/>
        </w:rPr>
        <w:t>什么时候该买入商品</w:t>
      </w:r>
      <w:r>
        <w:rPr>
          <w:rFonts w:ascii="Arial" w:hAnsi="Arial" w:eastAsia="等线" w:cs="Arial"/>
          <w:sz w:val="22"/>
        </w:rPr>
        <w:t>的理论。</w:t>
      </w:r>
    </w:p>
    <w:p w14:paraId="554E9CC3">
      <w:pPr>
        <w:spacing w:before="300" w:after="120" w:line="288" w:lineRule="auto"/>
        <w:ind w:left="0"/>
        <w:jc w:val="left"/>
        <w:outlineLvl w:val="2"/>
      </w:pPr>
      <w:bookmarkStart w:id="3" w:name="heading_112"/>
      <w:r>
        <w:rPr>
          <w:rFonts w:ascii="Arial" w:hAnsi="Arial" w:eastAsia="等线" w:cs="Arial"/>
          <w:color w:val="3370FF"/>
          <w:sz w:val="30"/>
        </w:rPr>
        <w:t xml:space="preserve">2. </w:t>
      </w:r>
      <w:r>
        <w:rPr>
          <w:rFonts w:ascii="Arial" w:hAnsi="Arial" w:eastAsia="等线" w:cs="Arial"/>
          <w:b/>
          <w:sz w:val="30"/>
        </w:rPr>
        <w:t>它是为了解决当时什么问题？</w:t>
      </w:r>
      <w:bookmarkEnd w:id="3"/>
    </w:p>
    <w:p w14:paraId="265744E3">
      <w:pPr>
        <w:spacing w:before="120" w:after="120" w:line="288" w:lineRule="auto"/>
        <w:ind w:left="0"/>
        <w:jc w:val="left"/>
      </w:pPr>
      <w:r>
        <w:rPr>
          <w:rFonts w:ascii="Arial" w:hAnsi="Arial" w:eastAsia="等线" w:cs="Arial"/>
          <w:sz w:val="22"/>
        </w:rPr>
        <w:t>普林格模型的提出，本质上是为了解决当时投资界和经济学界存在的三个“脱节”问题：</w:t>
      </w:r>
    </w:p>
    <w:p w14:paraId="77D78BEE">
      <w:pPr>
        <w:spacing w:before="260" w:after="120" w:line="288" w:lineRule="auto"/>
        <w:ind w:left="0"/>
        <w:jc w:val="left"/>
        <w:outlineLvl w:val="3"/>
      </w:pPr>
      <w:bookmarkStart w:id="4" w:name="heading_113"/>
      <w:r>
        <w:rPr>
          <w:rFonts w:ascii="Arial" w:hAnsi="Arial" w:eastAsia="等线" w:cs="Arial"/>
          <w:b/>
          <w:sz w:val="28"/>
        </w:rPr>
        <w:t>问题一：宏观经济数据“太慢”了（时效性问题）</w:t>
      </w:r>
      <w:bookmarkEnd w:id="4"/>
    </w:p>
    <w:p w14:paraId="177494BE">
      <w:pPr>
        <w:numPr>
          <w:ilvl w:val="0"/>
          <w:numId w:val="4"/>
        </w:numPr>
        <w:spacing w:before="120" w:after="120" w:line="288" w:lineRule="auto"/>
        <w:ind w:left="0"/>
        <w:jc w:val="left"/>
      </w:pPr>
      <w:r>
        <w:rPr>
          <w:rFonts w:ascii="Arial" w:hAnsi="Arial" w:eastAsia="等线" w:cs="Arial"/>
          <w:b/>
          <w:sz w:val="22"/>
        </w:rPr>
        <w:t>当时的困境：</w:t>
      </w:r>
      <w:r>
        <w:rPr>
          <w:rFonts w:ascii="Arial" w:hAnsi="Arial" w:eastAsia="等线" w:cs="Arial"/>
          <w:sz w:val="22"/>
        </w:rPr>
        <w:t xml:space="preserve"> 传统的经济学家依赖 GDP、失业率等数据来判断经济周期。但这些数据是</w:t>
      </w:r>
      <w:r>
        <w:rPr>
          <w:rFonts w:ascii="Arial" w:hAnsi="Arial" w:eastAsia="等线" w:cs="Arial"/>
          <w:b/>
          <w:sz w:val="22"/>
        </w:rPr>
        <w:t>滞后指标</w:t>
      </w:r>
      <w:r>
        <w:rPr>
          <w:rFonts w:ascii="Arial" w:hAnsi="Arial" w:eastAsia="等线" w:cs="Arial"/>
          <w:sz w:val="22"/>
        </w:rPr>
        <w:t>（Lagging Indicators）。往往等 GDP 确认衰退时，股市已经跌了一半了；等数据确认复苏时，股市已经反弹了。</w:t>
      </w:r>
    </w:p>
    <w:p w14:paraId="1FA67F53">
      <w:pPr>
        <w:numPr>
          <w:ilvl w:val="0"/>
          <w:numId w:val="5"/>
        </w:numPr>
        <w:spacing w:before="120" w:after="120" w:line="288" w:lineRule="auto"/>
        <w:ind w:left="0"/>
        <w:jc w:val="left"/>
      </w:pPr>
      <w:r>
        <w:rPr>
          <w:rFonts w:ascii="Arial" w:hAnsi="Arial" w:eastAsia="等线" w:cs="Arial"/>
          <w:b/>
          <w:sz w:val="22"/>
        </w:rPr>
        <w:t>普林格的解决方案：</w:t>
      </w:r>
      <w:r>
        <w:rPr>
          <w:rFonts w:ascii="Arial" w:hAnsi="Arial" w:eastAsia="等线" w:cs="Arial"/>
          <w:sz w:val="22"/>
        </w:rPr>
        <w:t xml:space="preserve"> 他提出“</w:t>
      </w:r>
      <w:r>
        <w:rPr>
          <w:rFonts w:ascii="Arial" w:hAnsi="Arial" w:eastAsia="等线" w:cs="Arial"/>
          <w:color w:val="D83931"/>
          <w:sz w:val="22"/>
        </w:rPr>
        <w:t>市场价格本身就是领先指标</w:t>
      </w:r>
      <w:r>
        <w:rPr>
          <w:rFonts w:ascii="Arial" w:hAnsi="Arial" w:eastAsia="等线" w:cs="Arial"/>
          <w:sz w:val="22"/>
        </w:rPr>
        <w:t>”。</w:t>
      </w:r>
    </w:p>
    <w:p w14:paraId="77FBF081">
      <w:pPr>
        <w:numPr>
          <w:ilvl w:val="0"/>
          <w:numId w:val="6"/>
        </w:numPr>
        <w:spacing w:before="120" w:after="120" w:line="288" w:lineRule="auto"/>
        <w:ind w:left="453"/>
        <w:jc w:val="left"/>
      </w:pPr>
      <w:r>
        <w:rPr>
          <w:rFonts w:ascii="Arial" w:hAnsi="Arial" w:eastAsia="等线" w:cs="Arial"/>
          <w:sz w:val="22"/>
        </w:rPr>
        <w:t>他发现金融市场（</w:t>
      </w:r>
      <w:r>
        <w:rPr>
          <w:rFonts w:ascii="Arial" w:hAnsi="Arial" w:eastAsia="等线" w:cs="Arial"/>
          <w:color w:val="D83931"/>
          <w:sz w:val="22"/>
        </w:rPr>
        <w:t>债券、股票、商品</w:t>
      </w:r>
      <w:r>
        <w:rPr>
          <w:rFonts w:ascii="Arial" w:hAnsi="Arial" w:eastAsia="等线" w:cs="Arial"/>
          <w:sz w:val="22"/>
        </w:rPr>
        <w:t>）对经济的反应比统计局的数据要快得多。</w:t>
      </w:r>
    </w:p>
    <w:p w14:paraId="45DCB3B6">
      <w:pPr>
        <w:numPr>
          <w:ilvl w:val="0"/>
          <w:numId w:val="7"/>
        </w:numPr>
        <w:spacing w:before="120" w:after="120" w:line="288" w:lineRule="auto"/>
        <w:ind w:left="453"/>
        <w:jc w:val="left"/>
      </w:pPr>
      <w:r>
        <w:rPr>
          <w:rFonts w:ascii="Arial" w:hAnsi="Arial" w:eastAsia="等线" w:cs="Arial"/>
          <w:sz w:val="22"/>
        </w:rPr>
        <w:t>他试图解决的问题是：</w:t>
      </w:r>
      <w:r>
        <w:rPr>
          <w:rFonts w:ascii="Arial" w:hAnsi="Arial" w:eastAsia="等线" w:cs="Arial"/>
          <w:b/>
          <w:sz w:val="22"/>
        </w:rPr>
        <w:t>如何不看滞后的GDP，而是看</w:t>
      </w:r>
      <w:r>
        <w:rPr>
          <w:rFonts w:ascii="Arial" w:hAnsi="Arial" w:eastAsia="等线" w:cs="Arial"/>
          <w:b/>
          <w:color w:val="D83931"/>
          <w:sz w:val="22"/>
        </w:rPr>
        <w:t>实时的资产价格</w:t>
      </w:r>
      <w:r>
        <w:rPr>
          <w:rFonts w:ascii="Arial" w:hAnsi="Arial" w:eastAsia="等线" w:cs="Arial"/>
          <w:b/>
          <w:sz w:val="22"/>
        </w:rPr>
        <w:t>来推导现在的经济阶段？</w:t>
      </w:r>
    </w:p>
    <w:p w14:paraId="193F72D9">
      <w:pPr>
        <w:spacing w:before="260" w:after="120" w:line="288" w:lineRule="auto"/>
        <w:ind w:left="0"/>
        <w:jc w:val="left"/>
        <w:outlineLvl w:val="3"/>
      </w:pPr>
      <w:bookmarkStart w:id="5" w:name="heading_114"/>
      <w:r>
        <w:rPr>
          <w:rFonts w:ascii="Arial" w:hAnsi="Arial" w:eastAsia="等线" w:cs="Arial"/>
          <w:b/>
          <w:sz w:val="28"/>
        </w:rPr>
        <w:t>问题二：单一市场分析的“盲人摸象”（关联性问题）</w:t>
      </w:r>
      <w:bookmarkEnd w:id="5"/>
    </w:p>
    <w:p w14:paraId="5A1DEED4">
      <w:pPr>
        <w:numPr>
          <w:ilvl w:val="0"/>
          <w:numId w:val="8"/>
        </w:numPr>
        <w:spacing w:before="120" w:after="120" w:line="288" w:lineRule="auto"/>
        <w:ind w:left="0"/>
        <w:jc w:val="left"/>
      </w:pPr>
      <w:r>
        <w:rPr>
          <w:rFonts w:ascii="Arial" w:hAnsi="Arial" w:eastAsia="等线" w:cs="Arial"/>
          <w:b/>
          <w:sz w:val="22"/>
        </w:rPr>
        <w:t>当时的困境：</w:t>
      </w:r>
      <w:r>
        <w:rPr>
          <w:rFonts w:ascii="Arial" w:hAnsi="Arial" w:eastAsia="等线" w:cs="Arial"/>
          <w:sz w:val="22"/>
        </w:rPr>
        <w:t xml:space="preserve"> 当时的股票分析师只看股票（看</w:t>
      </w:r>
      <w:r>
        <w:rPr>
          <w:rFonts w:ascii="Arial" w:hAnsi="Arial" w:eastAsia="等线" w:cs="Arial"/>
          <w:color w:val="D83931"/>
          <w:sz w:val="22"/>
        </w:rPr>
        <w:t>市盈率、看K线</w:t>
      </w:r>
      <w:r>
        <w:rPr>
          <w:rFonts w:ascii="Arial" w:hAnsi="Arial" w:eastAsia="等线" w:cs="Arial"/>
          <w:sz w:val="22"/>
        </w:rPr>
        <w:t>），债券交易员只看利率。但 70 年代的经验表明，</w:t>
      </w:r>
      <w:r>
        <w:rPr>
          <w:rFonts w:ascii="Arial" w:hAnsi="Arial" w:eastAsia="等线" w:cs="Arial"/>
          <w:b/>
          <w:color w:val="D83931"/>
          <w:sz w:val="22"/>
        </w:rPr>
        <w:t>股票的顶往往是由债券（利率）决定的，而债券的底往往是由商品（通胀）决定的</w:t>
      </w:r>
      <w:r>
        <w:rPr>
          <w:rFonts w:ascii="Arial" w:hAnsi="Arial" w:eastAsia="等线" w:cs="Arial"/>
          <w:b/>
          <w:sz w:val="22"/>
        </w:rPr>
        <w:t>。</w:t>
      </w:r>
    </w:p>
    <w:p w14:paraId="6C9DFAA3">
      <w:pPr>
        <w:numPr>
          <w:ilvl w:val="0"/>
          <w:numId w:val="9"/>
        </w:numPr>
        <w:spacing w:before="120" w:after="120" w:line="288" w:lineRule="auto"/>
        <w:ind w:left="0"/>
        <w:jc w:val="left"/>
      </w:pPr>
      <w:r>
        <w:rPr>
          <w:rFonts w:ascii="Arial" w:hAnsi="Arial" w:eastAsia="等线" w:cs="Arial"/>
          <w:b/>
          <w:sz w:val="22"/>
        </w:rPr>
        <w:t>普林格的解决方案：</w:t>
      </w:r>
      <w:r>
        <w:rPr>
          <w:rFonts w:ascii="Arial" w:hAnsi="Arial" w:eastAsia="等线" w:cs="Arial"/>
          <w:sz w:val="22"/>
        </w:rPr>
        <w:t xml:space="preserve"> 他引入了</w:t>
      </w:r>
      <w:r>
        <w:rPr>
          <w:rFonts w:ascii="Arial" w:hAnsi="Arial" w:eastAsia="等线" w:cs="Arial"/>
          <w:b/>
          <w:color w:val="D83931"/>
          <w:sz w:val="22"/>
        </w:rPr>
        <w:t>跨市场分析（Intermarket Analysis）</w:t>
      </w:r>
      <w:r>
        <w:rPr>
          <w:rFonts w:ascii="Arial" w:hAnsi="Arial" w:eastAsia="等线" w:cs="Arial"/>
          <w:sz w:val="22"/>
        </w:rPr>
        <w:t>的雏形。</w:t>
      </w:r>
    </w:p>
    <w:p w14:paraId="4739C93C">
      <w:pPr>
        <w:numPr>
          <w:ilvl w:val="0"/>
          <w:numId w:val="10"/>
        </w:numPr>
        <w:spacing w:before="120" w:after="120" w:line="288" w:lineRule="auto"/>
        <w:ind w:left="453"/>
        <w:jc w:val="left"/>
      </w:pPr>
      <w:r>
        <w:rPr>
          <w:rFonts w:ascii="Arial" w:hAnsi="Arial" w:eastAsia="等线" w:cs="Arial"/>
          <w:color w:val="D83931"/>
          <w:sz w:val="22"/>
        </w:rPr>
        <w:t>如果不看债券（流动性闸门）和商品（通胀源头），就无法准确预测股票</w:t>
      </w:r>
      <w:r>
        <w:rPr>
          <w:rFonts w:ascii="Arial" w:hAnsi="Arial" w:eastAsia="等线" w:cs="Arial"/>
          <w:sz w:val="22"/>
        </w:rPr>
        <w:t>。</w:t>
      </w:r>
    </w:p>
    <w:p w14:paraId="2929807D">
      <w:pPr>
        <w:numPr>
          <w:ilvl w:val="0"/>
          <w:numId w:val="11"/>
        </w:numPr>
        <w:spacing w:before="120" w:after="120" w:line="288" w:lineRule="auto"/>
        <w:ind w:left="453"/>
        <w:jc w:val="left"/>
      </w:pPr>
      <w:r>
        <w:rPr>
          <w:rFonts w:ascii="Arial" w:hAnsi="Arial" w:eastAsia="等线" w:cs="Arial"/>
          <w:sz w:val="22"/>
        </w:rPr>
        <w:t>他解决了“孤岛式分析”的问题，建立了一个联动模型：利率 → 经济 → 通胀。</w:t>
      </w:r>
    </w:p>
    <w:p w14:paraId="1F4DEA82">
      <w:pPr>
        <w:spacing w:before="260" w:after="120" w:line="288" w:lineRule="auto"/>
        <w:ind w:left="0"/>
        <w:jc w:val="left"/>
        <w:outlineLvl w:val="3"/>
      </w:pPr>
      <w:bookmarkStart w:id="6" w:name="heading_115"/>
      <w:r>
        <w:rPr>
          <w:rFonts w:ascii="Arial" w:hAnsi="Arial" w:eastAsia="等线" w:cs="Arial"/>
          <w:b/>
          <w:sz w:val="28"/>
        </w:rPr>
        <w:t>问题三：对“通胀”缺乏动态的应对策略（资产配置问题）</w:t>
      </w:r>
      <w:bookmarkEnd w:id="6"/>
    </w:p>
    <w:p w14:paraId="2F11E5E9">
      <w:pPr>
        <w:numPr>
          <w:ilvl w:val="0"/>
          <w:numId w:val="12"/>
        </w:numPr>
        <w:spacing w:before="120" w:after="120" w:line="288" w:lineRule="auto"/>
        <w:ind w:left="0"/>
        <w:jc w:val="left"/>
      </w:pPr>
      <w:r>
        <w:rPr>
          <w:rFonts w:ascii="Arial" w:hAnsi="Arial" w:eastAsia="等线" w:cs="Arial"/>
          <w:b/>
          <w:sz w:val="22"/>
        </w:rPr>
        <w:t>当时的困境：</w:t>
      </w:r>
      <w:r>
        <w:rPr>
          <w:rFonts w:ascii="Arial" w:hAnsi="Arial" w:eastAsia="等线" w:cs="Arial"/>
          <w:sz w:val="22"/>
        </w:rPr>
        <w:t xml:space="preserve"> 传统投资模型很少把</w:t>
      </w:r>
      <w:r>
        <w:rPr>
          <w:rFonts w:ascii="Arial" w:hAnsi="Arial" w:eastAsia="等线" w:cs="Arial"/>
          <w:b/>
          <w:sz w:val="22"/>
        </w:rPr>
        <w:t>大宗商品</w:t>
      </w:r>
      <w:r>
        <w:rPr>
          <w:rFonts w:ascii="Arial" w:hAnsi="Arial" w:eastAsia="等线" w:cs="Arial"/>
          <w:sz w:val="22"/>
        </w:rPr>
        <w:t>作为一个独立的核心资产类别。但在高通胀年代，忽视商品就等于忽视了最大的收益来源。</w:t>
      </w:r>
    </w:p>
    <w:p w14:paraId="5BCC5DCD">
      <w:pPr>
        <w:numPr>
          <w:ilvl w:val="0"/>
          <w:numId w:val="13"/>
        </w:numPr>
        <w:spacing w:before="120" w:after="120" w:line="288" w:lineRule="auto"/>
        <w:ind w:left="0"/>
        <w:jc w:val="left"/>
      </w:pPr>
      <w:r>
        <w:rPr>
          <w:rFonts w:ascii="Arial" w:hAnsi="Arial" w:eastAsia="等线" w:cs="Arial"/>
          <w:b/>
          <w:sz w:val="22"/>
        </w:rPr>
        <w:t>普林格的解决方案：</w:t>
      </w:r>
      <w:r>
        <w:rPr>
          <w:rFonts w:ascii="Arial" w:hAnsi="Arial" w:eastAsia="等线" w:cs="Arial"/>
          <w:sz w:val="22"/>
        </w:rPr>
        <w:t xml:space="preserve"> 他将商业周期细分为六个阶段，特别强调了通胀上升（阶段4、5）和通胀下降（阶段1、2）对资产配置的决定性影响。</w:t>
      </w:r>
    </w:p>
    <w:p w14:paraId="488185C8">
      <w:pPr>
        <w:numPr>
          <w:ilvl w:val="0"/>
          <w:numId w:val="14"/>
        </w:numPr>
        <w:spacing w:before="120" w:after="120" w:line="288" w:lineRule="auto"/>
        <w:ind w:left="453"/>
        <w:jc w:val="left"/>
      </w:pPr>
      <w:r>
        <w:rPr>
          <w:rFonts w:ascii="Arial" w:hAnsi="Arial" w:eastAsia="等线" w:cs="Arial"/>
          <w:sz w:val="22"/>
        </w:rPr>
        <w:t>这解决了“全天候配置”的问题：无论通胀是起是落，总有一类资产（债、股或商品）是上涨的。</w:t>
      </w:r>
    </w:p>
    <w:p w14:paraId="2DAF5CB8">
      <w:pPr>
        <w:spacing w:before="120" w:after="120" w:line="288" w:lineRule="auto"/>
        <w:ind w:left="0"/>
        <w:jc w:val="left"/>
      </w:pPr>
    </w:p>
    <w:p w14:paraId="26C45052">
      <w:pPr>
        <w:spacing w:before="320" w:after="120" w:line="288" w:lineRule="auto"/>
        <w:ind w:left="0"/>
        <w:jc w:val="left"/>
        <w:outlineLvl w:val="1"/>
      </w:pPr>
      <w:bookmarkStart w:id="7" w:name="heading_116"/>
      <w:r>
        <w:rPr>
          <w:rFonts w:ascii="Arial" w:hAnsi="Arial" w:eastAsia="等线" w:cs="Arial"/>
          <w:b/>
          <w:color w:val="245BDB"/>
          <w:sz w:val="32"/>
        </w:rPr>
        <w:t>（二）模型相关理论</w:t>
      </w:r>
      <w:bookmarkEnd w:id="7"/>
      <w:bookmarkStart w:id="13" w:name="_GoBack"/>
      <w:bookmarkEnd w:id="13"/>
    </w:p>
    <w:p w14:paraId="73359686">
      <w:pPr>
        <w:spacing w:before="300" w:after="120" w:line="288" w:lineRule="auto"/>
        <w:ind w:left="0"/>
        <w:jc w:val="left"/>
        <w:outlineLvl w:val="2"/>
      </w:pPr>
      <w:bookmarkStart w:id="8" w:name="heading_117"/>
      <w:r>
        <w:rPr>
          <w:rFonts w:ascii="Arial" w:hAnsi="Arial" w:eastAsia="等线" w:cs="Arial"/>
          <w:b/>
          <w:sz w:val="30"/>
        </w:rPr>
        <w:t>第一阶段：雏形期——从“经济数据”到“跨市场价格” (1980s - 1990s)</w:t>
      </w:r>
      <w:bookmarkEnd w:id="8"/>
    </w:p>
    <w:p w14:paraId="27679A67">
      <w:pPr>
        <w:spacing w:before="120" w:after="120" w:line="288" w:lineRule="auto"/>
        <w:ind w:left="0"/>
        <w:jc w:val="left"/>
      </w:pPr>
      <w:r>
        <w:rPr>
          <w:rFonts w:ascii="Arial" w:hAnsi="Arial" w:eastAsia="等线" w:cs="Arial"/>
          <w:sz w:val="22"/>
        </w:rPr>
        <w:t>这一阶段是普林格理论的奠基期。核心突破在于脱离了传统经济学对GDP滞后数据的依赖，确立了“金融资产价格作为领先指标”的跨市场分析框架。</w:t>
      </w:r>
    </w:p>
    <w:p w14:paraId="76572385">
      <w:pPr>
        <w:numPr>
          <w:ilvl w:val="0"/>
          <w:numId w:val="15"/>
        </w:numPr>
        <w:spacing w:before="120" w:after="120" w:line="288" w:lineRule="auto"/>
        <w:ind w:left="0"/>
        <w:jc w:val="left"/>
      </w:pPr>
      <w:r>
        <w:rPr>
          <w:rFonts w:ascii="Arial" w:hAnsi="Arial" w:eastAsia="等线" w:cs="Arial"/>
          <w:b/>
          <w:sz w:val="22"/>
        </w:rPr>
        <w:t>历史背景：</w:t>
      </w:r>
      <w:r>
        <w:rPr>
          <w:rFonts w:ascii="Arial" w:hAnsi="Arial" w:eastAsia="等线" w:cs="Arial"/>
          <w:sz w:val="22"/>
        </w:rPr>
        <w:t xml:space="preserve"> 70年代的“滞胀”让只看股票或只看债券的传统分析师频频失误，市场急需一种能解释股债商品联动关系的理论。</w:t>
      </w:r>
    </w:p>
    <w:p w14:paraId="25826155">
      <w:pPr>
        <w:numPr>
          <w:ilvl w:val="0"/>
          <w:numId w:val="16"/>
        </w:numPr>
        <w:spacing w:before="120" w:after="120" w:line="288" w:lineRule="auto"/>
        <w:ind w:left="0"/>
        <w:jc w:val="left"/>
      </w:pPr>
      <w:r>
        <w:rPr>
          <w:rFonts w:ascii="Arial" w:hAnsi="Arial" w:eastAsia="等线" w:cs="Arial"/>
          <w:b/>
          <w:sz w:val="22"/>
        </w:rPr>
        <w:t>核心文献：</w:t>
      </w:r>
    </w:p>
    <w:p w14:paraId="2E79ADD0">
      <w:pPr>
        <w:numPr>
          <w:ilvl w:val="0"/>
          <w:numId w:val="17"/>
        </w:numPr>
        <w:spacing w:before="120" w:after="120" w:line="288" w:lineRule="auto"/>
        <w:ind w:left="453"/>
        <w:jc w:val="left"/>
      </w:pPr>
      <w:r>
        <w:rPr>
          <w:rFonts w:ascii="Arial" w:hAnsi="Arial" w:eastAsia="等线" w:cs="Arial"/>
          <w:b/>
          <w:sz w:val="22"/>
        </w:rPr>
        <w:t xml:space="preserve">Martin Pring, </w:t>
      </w:r>
      <w:r>
        <w:rPr>
          <w:rFonts w:ascii="Arial" w:hAnsi="Arial" w:eastAsia="等线" w:cs="Arial"/>
          <w:b/>
          <w:i/>
          <w:sz w:val="22"/>
        </w:rPr>
        <w:t>Technical Analysis Explained</w:t>
      </w:r>
      <w:r>
        <w:rPr>
          <w:rFonts w:ascii="Arial" w:hAnsi="Arial" w:eastAsia="等线" w:cs="Arial"/>
          <w:b/>
          <w:sz w:val="22"/>
        </w:rPr>
        <w:t xml:space="preserve"> (早期版本)</w:t>
      </w:r>
    </w:p>
    <w:p w14:paraId="3D4BDE91">
      <w:pPr>
        <w:numPr>
          <w:ilvl w:val="0"/>
          <w:numId w:val="18"/>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技术分析不仅适用于个股，更适用于宏观资产类别。趋势是联动的。</w:t>
      </w:r>
    </w:p>
    <w:p w14:paraId="23E6FA81">
      <w:pPr>
        <w:numPr>
          <w:ilvl w:val="0"/>
          <w:numId w:val="19"/>
        </w:numPr>
        <w:spacing w:before="120" w:after="120" w:line="288" w:lineRule="auto"/>
        <w:ind w:left="453"/>
        <w:jc w:val="left"/>
      </w:pPr>
      <w:r>
        <w:rPr>
          <w:rFonts w:ascii="Arial" w:hAnsi="Arial" w:eastAsia="等线" w:cs="Arial"/>
          <w:b/>
          <w:sz w:val="22"/>
        </w:rPr>
        <w:t xml:space="preserve">John Murphy, </w:t>
      </w:r>
      <w:r>
        <w:rPr>
          <w:rFonts w:ascii="Arial" w:hAnsi="Arial" w:eastAsia="等线" w:cs="Arial"/>
          <w:b/>
          <w:i/>
          <w:sz w:val="22"/>
        </w:rPr>
        <w:t>Intermarket Technical Analysis</w:t>
      </w:r>
      <w:r>
        <w:rPr>
          <w:rFonts w:ascii="Arial" w:hAnsi="Arial" w:eastAsia="等线" w:cs="Arial"/>
          <w:b/>
          <w:sz w:val="22"/>
        </w:rPr>
        <w:t xml:space="preserve"> (1991)</w:t>
      </w:r>
    </w:p>
    <w:p w14:paraId="00AC4B62">
      <w:pPr>
        <w:numPr>
          <w:ilvl w:val="0"/>
          <w:numId w:val="20"/>
        </w:numPr>
        <w:spacing w:before="120" w:after="120" w:line="288" w:lineRule="auto"/>
        <w:ind w:left="907"/>
        <w:jc w:val="left"/>
      </w:pPr>
      <w:r>
        <w:rPr>
          <w:rFonts w:ascii="Arial" w:hAnsi="Arial" w:eastAsia="等线" w:cs="Arial"/>
          <w:i/>
          <w:sz w:val="22"/>
        </w:rPr>
        <w:t>注：虽然作者是墨菲，但与普林格同期，共同奠定了跨市场分析的基础。</w:t>
      </w:r>
    </w:p>
    <w:p w14:paraId="6F35C83E">
      <w:pPr>
        <w:numPr>
          <w:ilvl w:val="0"/>
          <w:numId w:val="21"/>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确立了美元 ↔ 大宗商品 ↔ 债券 ↔ 股票的四维传导链条。</w:t>
      </w:r>
    </w:p>
    <w:p w14:paraId="0694FBB0">
      <w:pPr>
        <w:numPr>
          <w:ilvl w:val="0"/>
          <w:numId w:val="22"/>
        </w:numPr>
        <w:spacing w:before="120" w:after="120" w:line="288" w:lineRule="auto"/>
        <w:ind w:left="0"/>
        <w:jc w:val="left"/>
      </w:pPr>
      <w:r>
        <w:rPr>
          <w:rFonts w:ascii="Arial" w:hAnsi="Arial" w:eastAsia="等线" w:cs="Arial"/>
          <w:b/>
          <w:sz w:val="22"/>
        </w:rPr>
        <w:t>阶段性理论成果：</w:t>
      </w:r>
    </w:p>
    <w:p w14:paraId="30692023">
      <w:pPr>
        <w:numPr>
          <w:ilvl w:val="0"/>
          <w:numId w:val="23"/>
        </w:numPr>
        <w:spacing w:before="120" w:after="120" w:line="288" w:lineRule="auto"/>
        <w:ind w:left="453"/>
        <w:jc w:val="left"/>
      </w:pPr>
      <w:r>
        <w:rPr>
          <w:rFonts w:ascii="Arial" w:hAnsi="Arial" w:eastAsia="等线" w:cs="Arial"/>
          <w:b/>
          <w:sz w:val="22"/>
        </w:rPr>
        <w:t>领先滞后法则：</w:t>
      </w:r>
      <w:r>
        <w:rPr>
          <w:rFonts w:ascii="Arial" w:hAnsi="Arial" w:eastAsia="等线" w:cs="Arial"/>
          <w:sz w:val="22"/>
        </w:rPr>
        <w:t xml:space="preserve"> 确立了“</w:t>
      </w:r>
      <w:r>
        <w:rPr>
          <w:rFonts w:ascii="Arial" w:hAnsi="Arial" w:eastAsia="等线" w:cs="Arial"/>
          <w:color w:val="D83931"/>
          <w:sz w:val="22"/>
        </w:rPr>
        <w:t>债券市场通常领先股票市场见顶/见底，股票市场通常领先大宗商品市场</w:t>
      </w:r>
      <w:r>
        <w:rPr>
          <w:rFonts w:ascii="Arial" w:hAnsi="Arial" w:eastAsia="等线" w:cs="Arial"/>
          <w:sz w:val="22"/>
        </w:rPr>
        <w:t>”的基本时序。</w:t>
      </w:r>
    </w:p>
    <w:p w14:paraId="2C099DD1">
      <w:pPr>
        <w:spacing w:before="300" w:after="120" w:line="288" w:lineRule="auto"/>
        <w:ind w:left="0"/>
        <w:jc w:val="left"/>
        <w:outlineLvl w:val="2"/>
      </w:pPr>
      <w:bookmarkStart w:id="9" w:name="heading_118"/>
      <w:r>
        <w:rPr>
          <w:rFonts w:ascii="Arial" w:hAnsi="Arial" w:eastAsia="等线" w:cs="Arial"/>
          <w:b/>
          <w:sz w:val="30"/>
        </w:rPr>
        <w:t>第二阶段：成型期——“六阶段模型”的系统化 (1990s - 2002)</w:t>
      </w:r>
      <w:bookmarkEnd w:id="9"/>
    </w:p>
    <w:p w14:paraId="0CE48D8F">
      <w:pPr>
        <w:spacing w:before="120" w:after="120" w:line="288" w:lineRule="auto"/>
        <w:ind w:left="0"/>
        <w:jc w:val="left"/>
      </w:pPr>
      <w:r>
        <w:rPr>
          <w:rFonts w:ascii="Arial" w:hAnsi="Arial" w:eastAsia="等线" w:cs="Arial"/>
          <w:sz w:val="22"/>
        </w:rPr>
        <w:t>这是普林格模型最经典的时期。他将上述的领先滞后关系进行了数学上的排列组合，正式提出了“六阶段”商业周期模型，并将其命名为“全天候投资”。</w:t>
      </w:r>
    </w:p>
    <w:p w14:paraId="55A1DBC1">
      <w:pPr>
        <w:numPr>
          <w:ilvl w:val="0"/>
          <w:numId w:val="24"/>
        </w:numPr>
        <w:spacing w:before="120" w:after="120" w:line="288" w:lineRule="auto"/>
        <w:ind w:left="0"/>
        <w:jc w:val="left"/>
      </w:pPr>
      <w:r>
        <w:rPr>
          <w:rFonts w:ascii="Arial" w:hAnsi="Arial" w:eastAsia="等线" w:cs="Arial"/>
          <w:b/>
          <w:sz w:val="22"/>
        </w:rPr>
        <w:t>历史背景：</w:t>
      </w:r>
      <w:r>
        <w:rPr>
          <w:rFonts w:ascii="Arial" w:hAnsi="Arial" w:eastAsia="等线" w:cs="Arial"/>
          <w:sz w:val="22"/>
        </w:rPr>
        <w:t xml:space="preserve"> 90年代美国经济经历了“大缓和”（Great Moderation），周期特征明显，非常适合模型化。</w:t>
      </w:r>
    </w:p>
    <w:p w14:paraId="4A6F0603">
      <w:pPr>
        <w:numPr>
          <w:ilvl w:val="0"/>
          <w:numId w:val="25"/>
        </w:numPr>
        <w:spacing w:before="120" w:after="120" w:line="288" w:lineRule="auto"/>
        <w:ind w:left="0"/>
        <w:jc w:val="left"/>
      </w:pPr>
      <w:r>
        <w:rPr>
          <w:rFonts w:ascii="Arial" w:hAnsi="Arial" w:eastAsia="等线" w:cs="Arial"/>
          <w:b/>
          <w:sz w:val="22"/>
        </w:rPr>
        <w:t>核心文献：</w:t>
      </w:r>
    </w:p>
    <w:p w14:paraId="3E9C9827">
      <w:pPr>
        <w:numPr>
          <w:ilvl w:val="0"/>
          <w:numId w:val="26"/>
        </w:numPr>
        <w:spacing w:before="120" w:after="120" w:line="288" w:lineRule="auto"/>
        <w:ind w:left="453"/>
        <w:jc w:val="left"/>
      </w:pPr>
      <w:r>
        <w:rPr>
          <w:rFonts w:ascii="Arial" w:hAnsi="Arial" w:eastAsia="等线" w:cs="Arial"/>
          <w:b/>
          <w:sz w:val="22"/>
        </w:rPr>
        <w:t xml:space="preserve">Martin Pring, </w:t>
      </w:r>
      <w:r>
        <w:rPr>
          <w:rFonts w:ascii="Arial" w:hAnsi="Arial" w:eastAsia="等线" w:cs="Arial"/>
          <w:b/>
          <w:i/>
          <w:sz w:val="22"/>
        </w:rPr>
        <w:t>The All-Season Investor</w:t>
      </w:r>
      <w:r>
        <w:rPr>
          <w:rFonts w:ascii="Arial" w:hAnsi="Arial" w:eastAsia="等线" w:cs="Arial"/>
          <w:b/>
          <w:sz w:val="22"/>
        </w:rPr>
        <w:t xml:space="preserve"> (1992)</w:t>
      </w:r>
    </w:p>
    <w:p w14:paraId="70FCD104">
      <w:pPr>
        <w:numPr>
          <w:ilvl w:val="0"/>
          <w:numId w:val="27"/>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正式定义了</w:t>
      </w:r>
      <w:r>
        <w:rPr>
          <w:rFonts w:ascii="Arial" w:hAnsi="Arial" w:eastAsia="等线" w:cs="Arial"/>
          <w:color w:val="D83931"/>
          <w:sz w:val="22"/>
        </w:rPr>
        <w:t>六个阶段（Stage I-VI）</w:t>
      </w:r>
      <w:r>
        <w:rPr>
          <w:rFonts w:ascii="Arial" w:hAnsi="Arial" w:eastAsia="等线" w:cs="Arial"/>
          <w:sz w:val="22"/>
        </w:rPr>
        <w:t>。提出</w:t>
      </w:r>
      <w:r>
        <w:rPr>
          <w:rFonts w:ascii="Arial" w:hAnsi="Arial" w:eastAsia="等线" w:cs="Arial"/>
          <w:color w:val="D83931"/>
          <w:sz w:val="22"/>
        </w:rPr>
        <w:t>没有任何一种资产能穿越所有周期，必须进行轮动（Rotation）</w:t>
      </w:r>
      <w:r>
        <w:rPr>
          <w:rFonts w:ascii="Arial" w:hAnsi="Arial" w:eastAsia="等线" w:cs="Arial"/>
          <w:sz w:val="22"/>
        </w:rPr>
        <w:t>。</w:t>
      </w:r>
    </w:p>
    <w:p w14:paraId="6D8B74E3">
      <w:pPr>
        <w:numPr>
          <w:ilvl w:val="0"/>
          <w:numId w:val="28"/>
        </w:numPr>
        <w:spacing w:before="120" w:after="120" w:line="288" w:lineRule="auto"/>
        <w:ind w:left="453"/>
        <w:jc w:val="left"/>
      </w:pPr>
      <w:r>
        <w:rPr>
          <w:rFonts w:ascii="Arial" w:hAnsi="Arial" w:eastAsia="等线" w:cs="Arial"/>
          <w:b/>
          <w:sz w:val="22"/>
        </w:rPr>
        <w:t xml:space="preserve">美林证券 (Merrill Lynch), </w:t>
      </w:r>
      <w:r>
        <w:rPr>
          <w:rFonts w:ascii="Arial" w:hAnsi="Arial" w:eastAsia="等线" w:cs="Arial"/>
          <w:b/>
          <w:i/>
          <w:sz w:val="22"/>
        </w:rPr>
        <w:t>The Investment Clock</w:t>
      </w:r>
      <w:r>
        <w:rPr>
          <w:rFonts w:ascii="Arial" w:hAnsi="Arial" w:eastAsia="等线" w:cs="Arial"/>
          <w:b/>
          <w:sz w:val="22"/>
        </w:rPr>
        <w:t xml:space="preserve"> (2004)</w:t>
      </w:r>
    </w:p>
    <w:p w14:paraId="18C8CC07">
      <w:pPr>
        <w:numPr>
          <w:ilvl w:val="0"/>
          <w:numId w:val="29"/>
        </w:numPr>
        <w:spacing w:before="120" w:after="120" w:line="288" w:lineRule="auto"/>
        <w:ind w:left="907"/>
        <w:jc w:val="left"/>
      </w:pPr>
      <w:r>
        <w:rPr>
          <w:rFonts w:ascii="Arial" w:hAnsi="Arial" w:eastAsia="等线" w:cs="Arial"/>
          <w:i/>
          <w:sz w:val="22"/>
        </w:rPr>
        <w:t>注：这是机构对普林格理论的变体验证。</w:t>
      </w:r>
    </w:p>
    <w:p w14:paraId="0DEF0EFB">
      <w:pPr>
        <w:numPr>
          <w:ilvl w:val="0"/>
          <w:numId w:val="30"/>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虽然使用的是“</w:t>
      </w:r>
      <w:r>
        <w:rPr>
          <w:rFonts w:ascii="Arial" w:hAnsi="Arial" w:eastAsia="等线" w:cs="Arial"/>
          <w:color w:val="D83931"/>
          <w:sz w:val="22"/>
        </w:rPr>
        <w:t>产出缺口+CPI</w:t>
      </w:r>
      <w:r>
        <w:rPr>
          <w:rFonts w:ascii="Arial" w:hAnsi="Arial" w:eastAsia="等线" w:cs="Arial"/>
          <w:sz w:val="22"/>
        </w:rPr>
        <w:t>”作为坐标，但其结论与普林格的资产轮动逻辑高度一致（</w:t>
      </w:r>
      <w:r>
        <w:rPr>
          <w:rFonts w:ascii="Arial" w:hAnsi="Arial" w:eastAsia="等线" w:cs="Arial"/>
          <w:color w:val="D83931"/>
          <w:sz w:val="22"/>
        </w:rPr>
        <w:t>复苏买股、过热买商品、滞胀买现金、衰退买债</w:t>
      </w:r>
      <w:r>
        <w:rPr>
          <w:rFonts w:ascii="Arial" w:hAnsi="Arial" w:eastAsia="等线" w:cs="Arial"/>
          <w:sz w:val="22"/>
        </w:rPr>
        <w:t>）。</w:t>
      </w:r>
    </w:p>
    <w:p w14:paraId="5BFE3D61">
      <w:pPr>
        <w:numPr>
          <w:ilvl w:val="0"/>
          <w:numId w:val="31"/>
        </w:numPr>
        <w:spacing w:before="120" w:after="120" w:line="288" w:lineRule="auto"/>
        <w:ind w:left="0"/>
        <w:jc w:val="left"/>
      </w:pPr>
      <w:r>
        <w:rPr>
          <w:rFonts w:ascii="Arial" w:hAnsi="Arial" w:eastAsia="等线" w:cs="Arial"/>
          <w:b/>
          <w:sz w:val="22"/>
        </w:rPr>
        <w:t>阶段性理论成果：</w:t>
      </w:r>
    </w:p>
    <w:p w14:paraId="233EE208">
      <w:pPr>
        <w:numPr>
          <w:ilvl w:val="0"/>
          <w:numId w:val="32"/>
        </w:numPr>
        <w:spacing w:before="120" w:after="120" w:line="288" w:lineRule="auto"/>
        <w:ind w:left="453"/>
        <w:jc w:val="left"/>
      </w:pPr>
      <w:r>
        <w:rPr>
          <w:rFonts w:ascii="Arial" w:hAnsi="Arial" w:eastAsia="等线" w:cs="Arial"/>
          <w:b/>
          <w:sz w:val="22"/>
        </w:rPr>
        <w:t>排列组合法：</w:t>
      </w:r>
      <w:r>
        <w:rPr>
          <w:rFonts w:ascii="Arial" w:hAnsi="Arial" w:eastAsia="等线" w:cs="Arial"/>
          <w:sz w:val="22"/>
        </w:rPr>
        <w:t xml:space="preserve"> 只要确认 </w:t>
      </w:r>
      <w:r>
        <w:rPr>
          <w:rFonts w:ascii="Arial" w:hAnsi="Arial" w:eastAsia="等线" w:cs="Arial"/>
          <w:b/>
          <w:sz w:val="22"/>
        </w:rPr>
        <w:t>Bond(B)</w:t>
      </w:r>
      <w:r>
        <w:rPr>
          <w:rFonts w:ascii="Arial" w:hAnsi="Arial" w:eastAsia="等线" w:cs="Arial"/>
          <w:sz w:val="22"/>
        </w:rPr>
        <w:t>、</w:t>
      </w:r>
      <w:r>
        <w:rPr>
          <w:rFonts w:ascii="Arial" w:hAnsi="Arial" w:eastAsia="等线" w:cs="Arial"/>
          <w:b/>
          <w:sz w:val="22"/>
        </w:rPr>
        <w:t>Stock(S)</w:t>
      </w:r>
      <w:r>
        <w:rPr>
          <w:rFonts w:ascii="Arial" w:hAnsi="Arial" w:eastAsia="等线" w:cs="Arial"/>
          <w:sz w:val="22"/>
        </w:rPr>
        <w:t>、</w:t>
      </w:r>
      <w:r>
        <w:rPr>
          <w:rFonts w:ascii="Arial" w:hAnsi="Arial" w:eastAsia="等线" w:cs="Arial"/>
          <w:b/>
          <w:sz w:val="22"/>
        </w:rPr>
        <w:t>Commodity(C)</w:t>
      </w:r>
      <w:r>
        <w:rPr>
          <w:rFonts w:ascii="Arial" w:hAnsi="Arial" w:eastAsia="等线" w:cs="Arial"/>
          <w:sz w:val="22"/>
        </w:rPr>
        <w:t xml:space="preserve"> 的趋势方向（涨/跌），就能唯一确定当前的经济周期阶段。</w:t>
      </w:r>
    </w:p>
    <w:p w14:paraId="0C95E593">
      <w:pPr>
        <w:spacing w:before="300" w:after="120" w:line="288" w:lineRule="auto"/>
        <w:ind w:left="0"/>
        <w:jc w:val="left"/>
        <w:outlineLvl w:val="2"/>
      </w:pPr>
      <w:bookmarkStart w:id="10" w:name="heading_119"/>
      <w:r>
        <w:rPr>
          <w:rFonts w:ascii="Arial" w:hAnsi="Arial" w:eastAsia="等线" w:cs="Arial"/>
          <w:b/>
          <w:sz w:val="30"/>
        </w:rPr>
        <w:t>第三阶段：深化期——板块轮动与ETF实战化 (2005 - 2015)</w:t>
      </w:r>
      <w:bookmarkEnd w:id="10"/>
    </w:p>
    <w:p w14:paraId="30BA5F47">
      <w:pPr>
        <w:spacing w:before="120" w:after="120" w:line="288" w:lineRule="auto"/>
        <w:ind w:left="0"/>
        <w:jc w:val="left"/>
      </w:pPr>
      <w:r>
        <w:rPr>
          <w:rFonts w:ascii="Arial" w:hAnsi="Arial" w:eastAsia="等线" w:cs="Arial"/>
          <w:sz w:val="22"/>
        </w:rPr>
        <w:t>随着ETF市场的爆发，理论研究</w:t>
      </w:r>
      <w:r>
        <w:rPr>
          <w:rFonts w:ascii="Arial" w:hAnsi="Arial" w:eastAsia="等线" w:cs="Arial"/>
          <w:color w:val="D83931"/>
          <w:sz w:val="22"/>
        </w:rPr>
        <w:t>从“大类资产”下沉到了“股票行业板块”</w:t>
      </w:r>
      <w:r>
        <w:rPr>
          <w:rFonts w:ascii="Arial" w:hAnsi="Arial" w:eastAsia="等线" w:cs="Arial"/>
          <w:sz w:val="22"/>
        </w:rPr>
        <w:t>。学者们开始验证普林格模型在行业轮动（Sector Rotation）中的有效性。</w:t>
      </w:r>
    </w:p>
    <w:p w14:paraId="343A6F12">
      <w:pPr>
        <w:numPr>
          <w:ilvl w:val="0"/>
          <w:numId w:val="33"/>
        </w:numPr>
        <w:spacing w:before="120" w:after="120" w:line="288" w:lineRule="auto"/>
        <w:ind w:left="0"/>
        <w:jc w:val="left"/>
      </w:pPr>
      <w:r>
        <w:rPr>
          <w:rFonts w:ascii="Arial" w:hAnsi="Arial" w:eastAsia="等线" w:cs="Arial"/>
          <w:b/>
          <w:sz w:val="22"/>
        </w:rPr>
        <w:t>历史背景：</w:t>
      </w:r>
      <w:r>
        <w:rPr>
          <w:rFonts w:ascii="Arial" w:hAnsi="Arial" w:eastAsia="等线" w:cs="Arial"/>
          <w:sz w:val="22"/>
        </w:rPr>
        <w:t xml:space="preserve"> 互联网泡沫破裂后，市场发现同为股票，科技股和能源股在周期不同阶段的表现截然相反。</w:t>
      </w:r>
    </w:p>
    <w:p w14:paraId="799FFD81">
      <w:pPr>
        <w:numPr>
          <w:ilvl w:val="0"/>
          <w:numId w:val="34"/>
        </w:numPr>
        <w:spacing w:before="120" w:after="120" w:line="288" w:lineRule="auto"/>
        <w:ind w:left="0"/>
        <w:jc w:val="left"/>
      </w:pPr>
      <w:r>
        <w:rPr>
          <w:rFonts w:ascii="Arial" w:hAnsi="Arial" w:eastAsia="等线" w:cs="Arial"/>
          <w:b/>
          <w:sz w:val="22"/>
        </w:rPr>
        <w:t>核心文献：</w:t>
      </w:r>
    </w:p>
    <w:p w14:paraId="57D5A373">
      <w:pPr>
        <w:numPr>
          <w:ilvl w:val="0"/>
          <w:numId w:val="35"/>
        </w:numPr>
        <w:spacing w:before="120" w:after="120" w:line="288" w:lineRule="auto"/>
        <w:ind w:left="453"/>
        <w:jc w:val="left"/>
      </w:pPr>
      <w:r>
        <w:rPr>
          <w:rFonts w:ascii="Arial" w:hAnsi="Arial" w:eastAsia="等线" w:cs="Arial"/>
          <w:b/>
          <w:sz w:val="22"/>
        </w:rPr>
        <w:t xml:space="preserve">Stovall, </w:t>
      </w:r>
      <w:r>
        <w:rPr>
          <w:rFonts w:ascii="Arial" w:hAnsi="Arial" w:eastAsia="等线" w:cs="Arial"/>
          <w:b/>
          <w:i/>
          <w:sz w:val="22"/>
        </w:rPr>
        <w:t>Standard &amp; Poor's Sector Rotation Model</w:t>
      </w:r>
      <w:r>
        <w:rPr>
          <w:rFonts w:ascii="Arial" w:hAnsi="Arial" w:eastAsia="等线" w:cs="Arial"/>
          <w:b/>
          <w:sz w:val="22"/>
        </w:rPr>
        <w:t xml:space="preserve"> (1996/updated 2000s)</w:t>
      </w:r>
    </w:p>
    <w:p w14:paraId="57803BED">
      <w:pPr>
        <w:numPr>
          <w:ilvl w:val="0"/>
          <w:numId w:val="36"/>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验证了普林格周期的细分应用：早期周期（Stage I/II）应超配金融、可选消费；晚期周期（Stage IV/V）应超配能源、基础材料。</w:t>
      </w:r>
    </w:p>
    <w:p w14:paraId="04D6FCDD">
      <w:pPr>
        <w:numPr>
          <w:ilvl w:val="0"/>
          <w:numId w:val="37"/>
        </w:numPr>
        <w:spacing w:before="120" w:after="120" w:line="288" w:lineRule="auto"/>
        <w:ind w:left="453"/>
        <w:jc w:val="left"/>
      </w:pPr>
      <w:r>
        <w:rPr>
          <w:rFonts w:ascii="Arial" w:hAnsi="Arial" w:eastAsia="等线" w:cs="Arial"/>
          <w:b/>
          <w:sz w:val="22"/>
        </w:rPr>
        <w:t xml:space="preserve">Conover et al., </w:t>
      </w:r>
      <w:r>
        <w:rPr>
          <w:rFonts w:ascii="Arial" w:hAnsi="Arial" w:eastAsia="等线" w:cs="Arial"/>
          <w:b/>
          <w:i/>
          <w:sz w:val="22"/>
        </w:rPr>
        <w:t>Sector Rotation and Monetary Conditions</w:t>
      </w:r>
      <w:r>
        <w:rPr>
          <w:rFonts w:ascii="Arial" w:hAnsi="Arial" w:eastAsia="等线" w:cs="Arial"/>
          <w:b/>
          <w:sz w:val="22"/>
        </w:rPr>
        <w:t xml:space="preserve"> (2005/2008)</w:t>
      </w:r>
    </w:p>
    <w:p w14:paraId="3CD47421">
      <w:pPr>
        <w:numPr>
          <w:ilvl w:val="0"/>
          <w:numId w:val="38"/>
        </w:numPr>
        <w:spacing w:before="120" w:after="120" w:line="288" w:lineRule="auto"/>
        <w:ind w:left="907"/>
        <w:jc w:val="left"/>
      </w:pPr>
      <w:r>
        <w:rPr>
          <w:rFonts w:ascii="Arial" w:hAnsi="Arial" w:eastAsia="等线" w:cs="Arial"/>
          <w:b/>
          <w:sz w:val="22"/>
        </w:rPr>
        <w:t>结论：</w:t>
      </w:r>
      <w:r>
        <w:rPr>
          <w:rFonts w:ascii="Arial" w:hAnsi="Arial" w:eastAsia="等线" w:cs="Arial"/>
          <w:sz w:val="22"/>
        </w:rPr>
        <w:t xml:space="preserve"> 学术实证表明，</w:t>
      </w:r>
      <w:r>
        <w:rPr>
          <w:rFonts w:ascii="Arial" w:hAnsi="Arial" w:eastAsia="等线" w:cs="Arial"/>
          <w:color w:val="D83931"/>
          <w:sz w:val="22"/>
        </w:rPr>
        <w:t>基于货币环境（利率周期，即普林格模型的第一驱动力）进行板块轮动，能产生显著的超额收益（Alpha）</w:t>
      </w:r>
      <w:r>
        <w:rPr>
          <w:rFonts w:ascii="Arial" w:hAnsi="Arial" w:eastAsia="等线" w:cs="Arial"/>
          <w:sz w:val="22"/>
        </w:rPr>
        <w:t>。</w:t>
      </w:r>
    </w:p>
    <w:p w14:paraId="1340968B">
      <w:pPr>
        <w:numPr>
          <w:ilvl w:val="0"/>
          <w:numId w:val="39"/>
        </w:numPr>
        <w:spacing w:before="120" w:after="120" w:line="288" w:lineRule="auto"/>
        <w:ind w:left="0"/>
        <w:jc w:val="left"/>
      </w:pPr>
      <w:r>
        <w:rPr>
          <w:rFonts w:ascii="Arial" w:hAnsi="Arial" w:eastAsia="等线" w:cs="Arial"/>
          <w:b/>
          <w:sz w:val="22"/>
        </w:rPr>
        <w:t>阶段性理论成果：</w:t>
      </w:r>
    </w:p>
    <w:p w14:paraId="1F87471C">
      <w:pPr>
        <w:numPr>
          <w:ilvl w:val="0"/>
          <w:numId w:val="40"/>
        </w:numPr>
        <w:spacing w:before="120" w:after="120" w:line="288" w:lineRule="auto"/>
        <w:ind w:left="453"/>
        <w:jc w:val="left"/>
      </w:pPr>
      <w:r>
        <w:rPr>
          <w:rFonts w:ascii="Arial" w:hAnsi="Arial" w:eastAsia="等线" w:cs="Arial"/>
          <w:b/>
          <w:sz w:val="22"/>
        </w:rPr>
        <w:t>板块映射图谱：</w:t>
      </w:r>
      <w:r>
        <w:rPr>
          <w:rFonts w:ascii="Arial" w:hAnsi="Arial" w:eastAsia="等线" w:cs="Arial"/>
          <w:sz w:val="22"/>
        </w:rPr>
        <w:t xml:space="preserve"> 将普林格的六阶段与GICS行业分类标准进行了对应（例如：阶段I → 金融；阶段III → 工业；阶段V → 能源）。</w:t>
      </w:r>
    </w:p>
    <w:p w14:paraId="6D61A0D9">
      <w:pPr>
        <w:spacing w:before="300" w:after="120" w:line="288" w:lineRule="auto"/>
        <w:ind w:left="0"/>
        <w:jc w:val="left"/>
        <w:outlineLvl w:val="2"/>
      </w:pPr>
      <w:bookmarkStart w:id="11" w:name="heading_120"/>
      <w:r>
        <w:rPr>
          <w:rFonts w:ascii="Arial" w:hAnsi="Arial" w:eastAsia="等线" w:cs="Arial"/>
          <w:b/>
          <w:sz w:val="30"/>
        </w:rPr>
        <w:t>第四阶段：前沿与修正期——量化机制转换与新常态 (2016 - 至今)</w:t>
      </w:r>
      <w:bookmarkEnd w:id="11"/>
    </w:p>
    <w:p w14:paraId="5DC4FDC7">
      <w:pPr>
        <w:spacing w:before="120" w:after="120" w:line="288" w:lineRule="auto"/>
        <w:ind w:left="0"/>
        <w:jc w:val="left"/>
      </w:pPr>
      <w:r>
        <w:rPr>
          <w:rFonts w:ascii="Arial" w:hAnsi="Arial" w:eastAsia="等线" w:cs="Arial"/>
          <w:sz w:val="22"/>
        </w:rPr>
        <w:t>这是当前的学术前沿。研究重点在于解决普林格模型在“量化宽松(QE)”和“通胀回归”环境下的失效问题，以及引入机器学习进行信号识别。</w:t>
      </w:r>
    </w:p>
    <w:p w14:paraId="4CD097D7">
      <w:pPr>
        <w:numPr>
          <w:ilvl w:val="0"/>
          <w:numId w:val="41"/>
        </w:numPr>
        <w:spacing w:before="120" w:after="120" w:line="288" w:lineRule="auto"/>
        <w:ind w:left="0"/>
        <w:jc w:val="left"/>
      </w:pPr>
      <w:r>
        <w:rPr>
          <w:rFonts w:ascii="Arial" w:hAnsi="Arial" w:eastAsia="等线" w:cs="Arial"/>
          <w:b/>
          <w:sz w:val="22"/>
        </w:rPr>
        <w:t>历史背景：</w:t>
      </w:r>
      <w:r>
        <w:rPr>
          <w:rFonts w:ascii="Arial" w:hAnsi="Arial" w:eastAsia="等线" w:cs="Arial"/>
          <w:sz w:val="22"/>
        </w:rPr>
        <w:t xml:space="preserve"> 2008年后央行长期扭曲利率，导致债券失去信号功能；2022年股债相关性由负转正，传统对冲失效。</w:t>
      </w:r>
    </w:p>
    <w:p w14:paraId="0DFE8318">
      <w:pPr>
        <w:numPr>
          <w:ilvl w:val="0"/>
          <w:numId w:val="42"/>
        </w:numPr>
        <w:spacing w:before="120" w:after="120" w:line="288" w:lineRule="auto"/>
        <w:ind w:left="0"/>
        <w:jc w:val="left"/>
      </w:pPr>
      <w:r>
        <w:rPr>
          <w:rFonts w:ascii="Arial" w:hAnsi="Arial" w:eastAsia="等线" w:cs="Arial"/>
          <w:b/>
          <w:sz w:val="22"/>
        </w:rPr>
        <w:t>核心前沿文献与议题：</w:t>
      </w:r>
    </w:p>
    <w:p w14:paraId="19B6672D">
      <w:pPr>
        <w:spacing w:before="120" w:after="120" w:line="288" w:lineRule="auto"/>
        <w:ind w:left="0" w:firstLine="420"/>
        <w:jc w:val="left"/>
      </w:pPr>
      <w:r>
        <w:rPr>
          <w:rFonts w:ascii="Arial" w:hAnsi="Arial" w:eastAsia="等线" w:cs="Arial"/>
          <w:b/>
          <w:sz w:val="22"/>
        </w:rPr>
        <w:t>关于“机制转换”的量化研究</w:t>
      </w:r>
    </w:p>
    <w:p w14:paraId="54B023C5">
      <w:pPr>
        <w:numPr>
          <w:ilvl w:val="0"/>
          <w:numId w:val="43"/>
        </w:numPr>
        <w:spacing w:before="120" w:after="120" w:line="288" w:lineRule="auto"/>
        <w:ind w:left="453"/>
        <w:jc w:val="left"/>
      </w:pPr>
      <w:r>
        <w:rPr>
          <w:rFonts w:ascii="Arial" w:hAnsi="Arial" w:eastAsia="等线" w:cs="Arial"/>
          <w:b/>
          <w:sz w:val="22"/>
        </w:rPr>
        <w:t>文献方向：</w:t>
      </w:r>
      <w:r>
        <w:rPr>
          <w:rFonts w:ascii="Arial" w:hAnsi="Arial" w:eastAsia="等线" w:cs="Arial"/>
          <w:sz w:val="22"/>
        </w:rPr>
        <w:t xml:space="preserve"> Kritzman et al. (MIT Sloan) 等学者关于 </w:t>
      </w:r>
      <w:r>
        <w:rPr>
          <w:rFonts w:ascii="Arial" w:hAnsi="Arial" w:eastAsia="等线" w:cs="Arial"/>
          <w:b/>
          <w:sz w:val="22"/>
        </w:rPr>
        <w:t>Markov Regime Switching (马尔可夫机制转换)</w:t>
      </w:r>
      <w:r>
        <w:rPr>
          <w:rFonts w:ascii="Arial" w:hAnsi="Arial" w:eastAsia="等线" w:cs="Arial"/>
          <w:sz w:val="22"/>
        </w:rPr>
        <w:t xml:space="preserve"> 的研究。</w:t>
      </w:r>
    </w:p>
    <w:p w14:paraId="790919B8">
      <w:pPr>
        <w:numPr>
          <w:ilvl w:val="0"/>
          <w:numId w:val="44"/>
        </w:numPr>
        <w:spacing w:before="120" w:after="120" w:line="288" w:lineRule="auto"/>
        <w:ind w:left="453"/>
        <w:jc w:val="left"/>
      </w:pPr>
      <w:r>
        <w:rPr>
          <w:rFonts w:ascii="Arial" w:hAnsi="Arial" w:eastAsia="等线" w:cs="Arial"/>
          <w:b/>
          <w:sz w:val="22"/>
        </w:rPr>
        <w:t>核心观点：</w:t>
      </w:r>
      <w:r>
        <w:rPr>
          <w:rFonts w:ascii="Arial" w:hAnsi="Arial" w:eastAsia="等线" w:cs="Arial"/>
          <w:sz w:val="22"/>
        </w:rPr>
        <w:t xml:space="preserve"> 传统的普林格模型依靠移动平均线判断趋势太慢了。前沿方法使用“隐马尔可夫模型 (HMM)”来</w:t>
      </w:r>
      <w:r>
        <w:rPr>
          <w:rFonts w:ascii="Arial" w:hAnsi="Arial" w:eastAsia="等线" w:cs="Arial"/>
          <w:color w:val="D83931"/>
          <w:sz w:val="22"/>
        </w:rPr>
        <w:t>基于资产波动率和相关性，通过算法自动识别当前处于哪个“隐藏状态”（即普林格阶段）</w:t>
      </w:r>
      <w:r>
        <w:rPr>
          <w:rFonts w:ascii="Arial" w:hAnsi="Arial" w:eastAsia="等线" w:cs="Arial"/>
          <w:sz w:val="22"/>
        </w:rPr>
        <w:t>，而不是人工判断。</w:t>
      </w:r>
    </w:p>
    <w:p w14:paraId="6762B533">
      <w:pPr>
        <w:spacing w:before="120" w:after="120" w:line="288" w:lineRule="auto"/>
        <w:ind w:left="0" w:firstLine="420"/>
        <w:jc w:val="left"/>
      </w:pPr>
      <w:r>
        <w:rPr>
          <w:rFonts w:ascii="Arial" w:hAnsi="Arial" w:eastAsia="等线" w:cs="Arial"/>
          <w:b/>
          <w:sz w:val="22"/>
        </w:rPr>
        <w:t>关于“股债相关性崩溃”的修正</w:t>
      </w:r>
    </w:p>
    <w:p w14:paraId="22EEDEF7">
      <w:pPr>
        <w:numPr>
          <w:ilvl w:val="0"/>
          <w:numId w:val="45"/>
        </w:numPr>
        <w:spacing w:before="120" w:after="120" w:line="288" w:lineRule="auto"/>
        <w:ind w:left="453"/>
        <w:jc w:val="left"/>
      </w:pPr>
      <w:r>
        <w:rPr>
          <w:rFonts w:ascii="Arial" w:hAnsi="Arial" w:eastAsia="等线" w:cs="Arial"/>
          <w:b/>
          <w:sz w:val="22"/>
        </w:rPr>
        <w:t>文献方向：</w:t>
      </w:r>
      <w:r>
        <w:rPr>
          <w:rFonts w:ascii="Arial" w:hAnsi="Arial" w:eastAsia="等线" w:cs="Arial"/>
          <w:sz w:val="22"/>
        </w:rPr>
        <w:t xml:space="preserve"> AQR Capital, Bridgewater 等对冲基金的周期研究报告 (e.g., </w:t>
      </w:r>
      <w:r>
        <w:rPr>
          <w:rFonts w:ascii="Arial" w:hAnsi="Arial" w:eastAsia="等线" w:cs="Arial"/>
          <w:i/>
          <w:sz w:val="22"/>
        </w:rPr>
        <w:t>Stock-Bond Correlation in a High Inflation World</w:t>
      </w:r>
      <w:r>
        <w:rPr>
          <w:rFonts w:ascii="Arial" w:hAnsi="Arial" w:eastAsia="等线" w:cs="Arial"/>
          <w:sz w:val="22"/>
        </w:rPr>
        <w:t>)。</w:t>
      </w:r>
    </w:p>
    <w:p w14:paraId="72575EEA">
      <w:pPr>
        <w:numPr>
          <w:ilvl w:val="0"/>
          <w:numId w:val="46"/>
        </w:numPr>
        <w:spacing w:before="120" w:after="120" w:line="288" w:lineRule="auto"/>
        <w:ind w:left="453"/>
        <w:jc w:val="left"/>
      </w:pPr>
      <w:r>
        <w:rPr>
          <w:rFonts w:ascii="Arial" w:hAnsi="Arial" w:eastAsia="等线" w:cs="Arial"/>
          <w:b/>
          <w:sz w:val="22"/>
        </w:rPr>
        <w:t>核心观点：</w:t>
      </w:r>
      <w:r>
        <w:rPr>
          <w:rFonts w:ascii="Arial" w:hAnsi="Arial" w:eastAsia="等线" w:cs="Arial"/>
          <w:sz w:val="22"/>
        </w:rPr>
        <w:t xml:space="preserve"> 普林格模型假设股债在部分阶段负相关（债涨股跌或债跌股涨）。但文献指出，当</w:t>
      </w:r>
      <w:r>
        <w:rPr>
          <w:rFonts w:ascii="Arial" w:hAnsi="Arial" w:eastAsia="等线" w:cs="Arial"/>
          <w:color w:val="D83931"/>
          <w:sz w:val="22"/>
        </w:rPr>
        <w:t>通胀波动率</w:t>
      </w:r>
      <w:r>
        <w:rPr>
          <w:rFonts w:ascii="Arial" w:hAnsi="Arial" w:eastAsia="等线" w:cs="Arial"/>
          <w:sz w:val="22"/>
        </w:rPr>
        <w:t>超过一定阈值（如2.5%），股债会呈现正相关（同涨同跌，如2022年）。</w:t>
      </w:r>
    </w:p>
    <w:p w14:paraId="27E29ECD">
      <w:pPr>
        <w:numPr>
          <w:ilvl w:val="0"/>
          <w:numId w:val="47"/>
        </w:numPr>
        <w:spacing w:before="120" w:after="120" w:line="288" w:lineRule="auto"/>
        <w:ind w:left="453"/>
        <w:jc w:val="left"/>
      </w:pPr>
      <w:r>
        <w:rPr>
          <w:rFonts w:ascii="Arial" w:hAnsi="Arial" w:eastAsia="等线" w:cs="Arial"/>
          <w:b/>
          <w:sz w:val="22"/>
        </w:rPr>
        <w:t>理论修正：</w:t>
      </w:r>
      <w:r>
        <w:rPr>
          <w:rFonts w:ascii="Arial" w:hAnsi="Arial" w:eastAsia="等线" w:cs="Arial"/>
          <w:color w:val="D83931"/>
          <w:sz w:val="22"/>
        </w:rPr>
        <w:t xml:space="preserve"> 现代普林格模型必须引入“通胀波动率”作为第四个维度</w:t>
      </w:r>
      <w:r>
        <w:rPr>
          <w:rFonts w:ascii="Arial" w:hAnsi="Arial" w:eastAsia="等线" w:cs="Arial"/>
          <w:sz w:val="22"/>
        </w:rPr>
        <w:t>，修正“股债双牛”或“股债双杀”的概率权重。</w:t>
      </w:r>
    </w:p>
    <w:p w14:paraId="71F32D85">
      <w:pPr>
        <w:spacing w:before="120" w:after="120" w:line="288" w:lineRule="auto"/>
        <w:ind w:left="0" w:firstLine="420"/>
        <w:jc w:val="left"/>
      </w:pPr>
      <w:r>
        <w:rPr>
          <w:rFonts w:ascii="Arial" w:hAnsi="Arial" w:eastAsia="等线" w:cs="Arial"/>
          <w:b/>
          <w:sz w:val="22"/>
        </w:rPr>
        <w:t>关于“加密资产”的周期归类</w:t>
      </w:r>
    </w:p>
    <w:p w14:paraId="6FB74A61">
      <w:pPr>
        <w:numPr>
          <w:ilvl w:val="0"/>
          <w:numId w:val="48"/>
        </w:numPr>
        <w:spacing w:before="120" w:after="120" w:line="288" w:lineRule="auto"/>
        <w:ind w:left="453"/>
        <w:jc w:val="left"/>
      </w:pPr>
      <w:r>
        <w:rPr>
          <w:rFonts w:ascii="Arial" w:hAnsi="Arial" w:eastAsia="等线" w:cs="Arial"/>
          <w:b/>
          <w:sz w:val="22"/>
        </w:rPr>
        <w:t>文献方向：</w:t>
      </w:r>
      <w:r>
        <w:rPr>
          <w:rFonts w:ascii="Arial" w:hAnsi="Arial" w:eastAsia="等线" w:cs="Arial"/>
          <w:sz w:val="22"/>
        </w:rPr>
        <w:t xml:space="preserve"> </w:t>
      </w:r>
      <w:r>
        <w:rPr>
          <w:rFonts w:ascii="Arial" w:hAnsi="Arial" w:eastAsia="等线" w:cs="Arial"/>
          <w:i/>
          <w:sz w:val="22"/>
        </w:rPr>
        <w:t>Liu &amp; Tsyvinski, "Risks and Returns of Cryptocurrency" (2018/2020)</w:t>
      </w:r>
      <w:r>
        <w:rPr>
          <w:rFonts w:ascii="Arial" w:hAnsi="Arial" w:eastAsia="等线" w:cs="Arial"/>
          <w:sz w:val="22"/>
        </w:rPr>
        <w:t xml:space="preserve"> 等。</w:t>
      </w:r>
    </w:p>
    <w:p w14:paraId="1AD020C6">
      <w:pPr>
        <w:numPr>
          <w:ilvl w:val="0"/>
          <w:numId w:val="49"/>
        </w:numPr>
        <w:spacing w:before="120" w:after="120" w:line="288" w:lineRule="auto"/>
        <w:ind w:left="453"/>
        <w:jc w:val="left"/>
      </w:pPr>
      <w:r>
        <w:rPr>
          <w:rFonts w:ascii="Arial" w:hAnsi="Arial" w:eastAsia="等线" w:cs="Arial"/>
          <w:b/>
          <w:sz w:val="22"/>
        </w:rPr>
        <w:t>核心观点：</w:t>
      </w:r>
      <w:r>
        <w:rPr>
          <w:rFonts w:ascii="Arial" w:hAnsi="Arial" w:eastAsia="等线" w:cs="Arial"/>
          <w:sz w:val="22"/>
        </w:rPr>
        <w:t xml:space="preserve"> 试图将比特币纳入周期模型。目前的初步结论是：加密货币在周期模型中表现出“超高贝塔科技股”的特征（对应阶段II的爆发），而非“数字黄金”（对应阶段V的避险）。</w:t>
      </w:r>
    </w:p>
    <w:p w14:paraId="4A03CEC7">
      <w:pPr>
        <w:spacing w:before="120" w:after="120" w:line="288" w:lineRule="auto"/>
        <w:ind w:left="0"/>
        <w:jc w:val="left"/>
      </w:pPr>
    </w:p>
    <w:p w14:paraId="676133CD">
      <w:pPr>
        <w:spacing w:before="320" w:after="120" w:line="288" w:lineRule="auto"/>
        <w:ind w:left="0"/>
        <w:jc w:val="left"/>
        <w:outlineLvl w:val="1"/>
      </w:pPr>
      <w:bookmarkStart w:id="12" w:name="heading_121"/>
      <w:r>
        <w:rPr>
          <w:rFonts w:ascii="Arial" w:hAnsi="Arial" w:eastAsia="等线" w:cs="Arial"/>
          <w:b/>
          <w:color w:val="245BDB"/>
          <w:sz w:val="32"/>
        </w:rPr>
        <w:t>（三）模型原理</w:t>
      </w:r>
      <w:bookmarkEnd w:id="12"/>
    </w:p>
    <w:p w14:paraId="6F049977">
      <w:pPr>
        <w:spacing w:before="120" w:after="120" w:line="288" w:lineRule="auto"/>
        <w:ind w:left="0"/>
        <w:jc w:val="left"/>
      </w:pPr>
      <w:r>
        <w:rPr>
          <w:rFonts w:ascii="Arial" w:hAnsi="Arial" w:eastAsia="等线" w:cs="Arial"/>
          <w:sz w:val="22"/>
        </w:rPr>
        <w:t xml:space="preserve">普林格周期的核心贡献在于将经济周期细分为 </w:t>
      </w:r>
      <w:r>
        <w:rPr>
          <w:rFonts w:ascii="Arial" w:hAnsi="Arial" w:eastAsia="等线" w:cs="Arial"/>
          <w:b/>
          <w:sz w:val="22"/>
        </w:rPr>
        <w:t>6 个阶段</w:t>
      </w:r>
      <w:r>
        <w:rPr>
          <w:rFonts w:ascii="Arial" w:hAnsi="Arial" w:eastAsia="等线" w:cs="Arial"/>
          <w:sz w:val="22"/>
        </w:rPr>
        <w:t>，并精准定义了债券、股票、大宗商品这三大类资产的“见底”和“见顶”顺序。在投资实务中，普林格周期被视为一种“接力”逻辑，其理论演进体现在对资产波峰波谷的捕捉：</w:t>
      </w:r>
    </w:p>
    <w:p w14:paraId="0C06D91E">
      <w:pPr>
        <w:numPr>
          <w:ilvl w:val="0"/>
          <w:numId w:val="50"/>
        </w:numPr>
        <w:spacing w:before="120" w:after="120" w:line="288" w:lineRule="auto"/>
        <w:ind w:left="0"/>
        <w:jc w:val="left"/>
      </w:pPr>
      <w:r>
        <w:rPr>
          <w:rFonts w:ascii="Arial" w:hAnsi="Arial" w:eastAsia="等线" w:cs="Arial"/>
          <w:b/>
          <w:sz w:val="22"/>
        </w:rPr>
        <w:t>传导逻辑的确立：</w:t>
      </w:r>
      <w:r>
        <w:rPr>
          <w:rFonts w:ascii="Arial" w:hAnsi="Arial" w:eastAsia="等线" w:cs="Arial"/>
          <w:sz w:val="22"/>
        </w:rPr>
        <w:t xml:space="preserve"> 普林格认为经济放缓首先导致利率下降（</w:t>
      </w:r>
      <w:r>
        <w:rPr>
          <w:rFonts w:ascii="Arial" w:hAnsi="Arial" w:eastAsia="等线" w:cs="Arial"/>
          <w:b/>
          <w:sz w:val="22"/>
        </w:rPr>
        <w:t>债券见底回升</w:t>
      </w:r>
      <w:r>
        <w:rPr>
          <w:rFonts w:ascii="Arial" w:hAnsi="Arial" w:eastAsia="等线" w:cs="Arial"/>
          <w:sz w:val="22"/>
        </w:rPr>
        <w:t>），随后刺激企业盈利预期（</w:t>
      </w:r>
      <w:r>
        <w:rPr>
          <w:rFonts w:ascii="Arial" w:hAnsi="Arial" w:eastAsia="等线" w:cs="Arial"/>
          <w:b/>
          <w:sz w:val="22"/>
        </w:rPr>
        <w:t>股票见底回升</w:t>
      </w:r>
      <w:r>
        <w:rPr>
          <w:rFonts w:ascii="Arial" w:hAnsi="Arial" w:eastAsia="等线" w:cs="Arial"/>
          <w:sz w:val="22"/>
        </w:rPr>
        <w:t>），最后经济过热带动通胀（</w:t>
      </w:r>
      <w:r>
        <w:rPr>
          <w:rFonts w:ascii="Arial" w:hAnsi="Arial" w:eastAsia="等线" w:cs="Arial"/>
          <w:b/>
          <w:sz w:val="22"/>
        </w:rPr>
        <w:t>商品见底回升</w:t>
      </w:r>
      <w:r>
        <w:rPr>
          <w:rFonts w:ascii="Arial" w:hAnsi="Arial" w:eastAsia="等线" w:cs="Arial"/>
          <w:sz w:val="22"/>
        </w:rPr>
        <w:t>）。</w:t>
      </w:r>
    </w:p>
    <w:p w14:paraId="3FF1929F">
      <w:pPr>
        <w:numPr>
          <w:ilvl w:val="0"/>
          <w:numId w:val="51"/>
        </w:numPr>
        <w:spacing w:before="120" w:after="120" w:line="288" w:lineRule="auto"/>
        <w:ind w:left="0"/>
        <w:jc w:val="left"/>
      </w:pPr>
      <w:r>
        <w:rPr>
          <w:rFonts w:ascii="Arial" w:hAnsi="Arial" w:eastAsia="等线" w:cs="Arial"/>
          <w:b/>
          <w:sz w:val="22"/>
        </w:rPr>
        <w:t>“三市轮动”策略：</w:t>
      </w:r>
      <w:r>
        <w:rPr>
          <w:rFonts w:ascii="Arial" w:hAnsi="Arial" w:eastAsia="等线" w:cs="Arial"/>
          <w:sz w:val="22"/>
        </w:rPr>
        <w:t xml:space="preserve"> 业界将普林格的 6 个阶段转化为量化策略：</w:t>
      </w:r>
    </w:p>
    <w:p w14:paraId="07AF1C2F">
      <w:pPr>
        <w:numPr>
          <w:ilvl w:val="0"/>
          <w:numId w:val="52"/>
        </w:numPr>
        <w:spacing w:before="120" w:after="120" w:line="288" w:lineRule="auto"/>
        <w:ind w:left="453"/>
        <w:jc w:val="left"/>
      </w:pPr>
      <w:r>
        <w:rPr>
          <w:rFonts w:ascii="Arial" w:hAnsi="Arial" w:eastAsia="等线" w:cs="Arial"/>
          <w:b/>
          <w:sz w:val="22"/>
        </w:rPr>
        <w:t>阶段 1：</w:t>
      </w:r>
      <w:r>
        <w:rPr>
          <w:rFonts w:ascii="Arial" w:hAnsi="Arial" w:eastAsia="等线" w:cs="Arial"/>
          <w:sz w:val="22"/>
        </w:rPr>
        <w:t xml:space="preserve"> 仅债券涨（经济极度低迷）。</w:t>
      </w:r>
    </w:p>
    <w:p w14:paraId="71A2238F">
      <w:pPr>
        <w:numPr>
          <w:ilvl w:val="0"/>
          <w:numId w:val="53"/>
        </w:numPr>
        <w:spacing w:before="120" w:after="120" w:line="288" w:lineRule="auto"/>
        <w:ind w:left="453"/>
        <w:jc w:val="left"/>
      </w:pPr>
      <w:r>
        <w:rPr>
          <w:rFonts w:ascii="Arial" w:hAnsi="Arial" w:eastAsia="等线" w:cs="Arial"/>
          <w:b/>
          <w:sz w:val="22"/>
        </w:rPr>
        <w:t>阶段 2：</w:t>
      </w:r>
      <w:r>
        <w:rPr>
          <w:rFonts w:ascii="Arial" w:hAnsi="Arial" w:eastAsia="等线" w:cs="Arial"/>
          <w:sz w:val="22"/>
        </w:rPr>
        <w:t xml:space="preserve"> 债券+股票涨（复苏开启）。</w:t>
      </w:r>
    </w:p>
    <w:p w14:paraId="697DC6A5">
      <w:pPr>
        <w:numPr>
          <w:ilvl w:val="0"/>
          <w:numId w:val="54"/>
        </w:numPr>
        <w:spacing w:before="120" w:after="120" w:line="288" w:lineRule="auto"/>
        <w:ind w:left="453"/>
        <w:jc w:val="left"/>
      </w:pPr>
      <w:r>
        <w:rPr>
          <w:rFonts w:ascii="Arial" w:hAnsi="Arial" w:eastAsia="等线" w:cs="Arial"/>
          <w:b/>
          <w:sz w:val="22"/>
        </w:rPr>
        <w:t>阶段 3：</w:t>
      </w:r>
      <w:r>
        <w:rPr>
          <w:rFonts w:ascii="Arial" w:hAnsi="Arial" w:eastAsia="等线" w:cs="Arial"/>
          <w:sz w:val="22"/>
        </w:rPr>
        <w:t xml:space="preserve"> 债券+股票+商品全涨（经济繁荣期）。</w:t>
      </w:r>
    </w:p>
    <w:p w14:paraId="0FC260DA">
      <w:pPr>
        <w:numPr>
          <w:ilvl w:val="0"/>
          <w:numId w:val="55"/>
        </w:numPr>
        <w:spacing w:before="120" w:after="120" w:line="288" w:lineRule="auto"/>
        <w:ind w:left="453"/>
        <w:jc w:val="left"/>
      </w:pPr>
      <w:r>
        <w:rPr>
          <w:rFonts w:ascii="Arial" w:hAnsi="Arial" w:eastAsia="等线" w:cs="Arial"/>
          <w:b/>
          <w:sz w:val="22"/>
        </w:rPr>
        <w:t>阶段 4：</w:t>
      </w:r>
      <w:r>
        <w:rPr>
          <w:rFonts w:ascii="Arial" w:hAnsi="Arial" w:eastAsia="等线" w:cs="Arial"/>
          <w:sz w:val="22"/>
        </w:rPr>
        <w:t xml:space="preserve"> 仅股票+商品涨（债券因加息开始下跌）。</w:t>
      </w:r>
    </w:p>
    <w:p w14:paraId="6040A473">
      <w:pPr>
        <w:numPr>
          <w:ilvl w:val="0"/>
          <w:numId w:val="56"/>
        </w:numPr>
        <w:spacing w:before="120" w:after="120" w:line="288" w:lineRule="auto"/>
        <w:ind w:left="453"/>
        <w:jc w:val="left"/>
      </w:pPr>
      <w:r>
        <w:rPr>
          <w:rFonts w:ascii="Arial" w:hAnsi="Arial" w:eastAsia="等线" w:cs="Arial"/>
          <w:b/>
          <w:sz w:val="22"/>
        </w:rPr>
        <w:t>阶段 5：</w:t>
      </w:r>
      <w:r>
        <w:rPr>
          <w:rFonts w:ascii="Arial" w:hAnsi="Arial" w:eastAsia="等线" w:cs="Arial"/>
          <w:sz w:val="22"/>
        </w:rPr>
        <w:t xml:space="preserve"> 仅商品涨（经济过热，股市见顶）。</w:t>
      </w:r>
    </w:p>
    <w:p w14:paraId="02AB4BB7">
      <w:pPr>
        <w:numPr>
          <w:ilvl w:val="0"/>
          <w:numId w:val="57"/>
        </w:numPr>
        <w:spacing w:before="120" w:after="120" w:line="288" w:lineRule="auto"/>
        <w:ind w:left="453"/>
        <w:jc w:val="left"/>
      </w:pPr>
      <w:r>
        <w:rPr>
          <w:rFonts w:ascii="Arial" w:hAnsi="Arial" w:eastAsia="等线" w:cs="Arial"/>
          <w:b/>
          <w:sz w:val="22"/>
        </w:rPr>
        <w:t>阶段 6：</w:t>
      </w:r>
      <w:r>
        <w:rPr>
          <w:rFonts w:ascii="Arial" w:hAnsi="Arial" w:eastAsia="等线" w:cs="Arial"/>
          <w:sz w:val="22"/>
        </w:rPr>
        <w:t xml:space="preserve"> 三者全跌（进入衰退）。</w:t>
      </w:r>
    </w:p>
    <w:p w14:paraId="4ADFD7BA">
      <w:pPr>
        <w:spacing w:before="120" w:after="120" w:line="288" w:lineRule="auto"/>
        <w:ind w:left="0"/>
        <w:jc w:val="left"/>
      </w:pPr>
      <w:r>
        <w:rPr>
          <w:rFonts w:ascii="Arial" w:hAnsi="Arial" w:eastAsia="等线" w:cs="Arial"/>
          <w:sz w:val="22"/>
        </w:rPr>
        <w:t>普林格周期脱胎于美林时钟模型，在美林时钟模型增长/通胀的基础上加入信贷指标来更好的适应货币主义时代。</w:t>
      </w:r>
      <w:r>
        <w:rPr>
          <w:rFonts w:ascii="Arial" w:hAnsi="Arial" w:eastAsia="等线" w:cs="Arial"/>
          <w:color w:val="D83931"/>
          <w:sz w:val="22"/>
        </w:rPr>
        <w:t>在普林格周期中，使用先行指标（M1、M2同比），同步指标（GDP同比、工业增加值同比），滞后指标（PPI同比）三个指标来衡量经济周期，将经济周期划分为六个阶段</w:t>
      </w:r>
      <w:r>
        <w:rPr>
          <w:rFonts w:ascii="Arial" w:hAnsi="Arial" w:eastAsia="等线" w:cs="Arial"/>
          <w:sz w:val="22"/>
        </w:rPr>
        <w:t>，并计算了在上述各个阶段中各类资产的回报率和股票不同风格回报率，结果表明，在经济周期各个阶段的轮换中，不论是大类资产还是股票风格，其收益率均有所分化，优势品种有超越大市的表现，具体周期划分以及表现如下图。</w:t>
      </w:r>
    </w:p>
    <w:p w14:paraId="107E5DCE">
      <w:pPr>
        <w:spacing w:before="120" w:after="120" w:line="288" w:lineRule="auto"/>
        <w:ind w:left="0"/>
        <w:jc w:val="center"/>
      </w:pPr>
      <w:r>
        <w:drawing>
          <wp:inline distT="0" distB="0" distL="0" distR="0">
            <wp:extent cx="5257800" cy="37719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6"/>
                    <a:stretch>
                      <a:fillRect/>
                    </a:stretch>
                  </pic:blipFill>
                  <pic:spPr>
                    <a:xfrm>
                      <a:off x="0" y="0"/>
                      <a:ext cx="5257800" cy="3771900"/>
                    </a:xfrm>
                    <a:prstGeom prst="rect">
                      <a:avLst/>
                    </a:prstGeom>
                  </pic:spPr>
                </pic:pic>
              </a:graphicData>
            </a:graphic>
          </wp:inline>
        </w:drawing>
      </w:r>
    </w:p>
    <w:p w14:paraId="1CEDC4D6">
      <w:pPr>
        <w:spacing w:before="120" w:after="120" w:line="288" w:lineRule="auto"/>
        <w:ind w:left="0"/>
        <w:jc w:val="center"/>
      </w:pPr>
      <w:r>
        <w:drawing>
          <wp:inline distT="0" distB="0" distL="0" distR="0">
            <wp:extent cx="5257800" cy="23241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7"/>
                    <a:stretch>
                      <a:fillRect/>
                    </a:stretch>
                  </pic:blipFill>
                  <pic:spPr>
                    <a:xfrm>
                      <a:off x="0" y="0"/>
                      <a:ext cx="5257800" cy="2324100"/>
                    </a:xfrm>
                    <a:prstGeom prst="rect">
                      <a:avLst/>
                    </a:prstGeom>
                  </pic:spPr>
                </pic:pic>
              </a:graphicData>
            </a:graphic>
          </wp:inline>
        </w:drawing>
      </w:r>
    </w:p>
    <w:p w14:paraId="6A1956BD">
      <w:pPr>
        <w:numPr>
          <w:ilvl w:val="0"/>
          <w:numId w:val="58"/>
        </w:numPr>
        <w:spacing w:before="120" w:after="120" w:line="288" w:lineRule="auto"/>
        <w:ind w:left="0"/>
        <w:jc w:val="left"/>
      </w:pPr>
      <w:r>
        <w:rPr>
          <w:rFonts w:ascii="Arial" w:hAnsi="Arial" w:eastAsia="等线" w:cs="Arial"/>
          <w:sz w:val="22"/>
          <w:u w:val="single"/>
        </w:rPr>
        <w:t>在经济周期第一阶段，</w:t>
      </w:r>
      <w:r>
        <w:rPr>
          <w:rFonts w:ascii="Arial" w:hAnsi="Arial" w:eastAsia="等线" w:cs="Arial"/>
          <w:sz w:val="22"/>
        </w:rPr>
        <w:t>央行仍实行宽松的货币政策，继续增加货币供应量，推行各种财政政策刺激经济。从资产配置的角度看，此时一般短期利率会上行，同时债市经历熊市之后也将迎来拐点，因此债券与现金成为这一时刻的优质资产。但是在这一阶段，生产与通胀仍处于下降区间，高波动资产依然有相当高的风险，不建议配置。</w:t>
      </w:r>
    </w:p>
    <w:p w14:paraId="0CE0DEFC">
      <w:pPr>
        <w:numPr>
          <w:ilvl w:val="0"/>
          <w:numId w:val="59"/>
        </w:numPr>
        <w:spacing w:before="120" w:after="120" w:line="288" w:lineRule="auto"/>
        <w:ind w:left="0"/>
        <w:jc w:val="left"/>
      </w:pPr>
      <w:r>
        <w:rPr>
          <w:rFonts w:ascii="Arial" w:hAnsi="Arial" w:eastAsia="等线" w:cs="Arial"/>
          <w:sz w:val="22"/>
          <w:u w:val="single"/>
        </w:rPr>
        <w:t>在经济周期第二阶段，</w:t>
      </w:r>
      <w:r>
        <w:rPr>
          <w:rFonts w:ascii="Arial" w:hAnsi="Arial" w:eastAsia="等线" w:cs="Arial"/>
          <w:sz w:val="22"/>
        </w:rPr>
        <w:t>通货膨胀继续回落，GDP增长率开始上升，虽然闲置的生产力还没有完全的利用起来，但企业的利润率已企稳开始回升，同时央行为了使经济全面恢复会持续增加货币供给。从资产配置的角度看，这时权益市场筑底完成，是配置的最佳时期，建议高配。</w:t>
      </w:r>
    </w:p>
    <w:p w14:paraId="2CE8194B">
      <w:pPr>
        <w:numPr>
          <w:ilvl w:val="0"/>
          <w:numId w:val="60"/>
        </w:numPr>
        <w:spacing w:before="120" w:after="120" w:line="288" w:lineRule="auto"/>
        <w:ind w:left="0"/>
        <w:jc w:val="left"/>
      </w:pPr>
      <w:r>
        <w:rPr>
          <w:rFonts w:ascii="Arial" w:hAnsi="Arial" w:eastAsia="等线" w:cs="Arial"/>
          <w:sz w:val="22"/>
          <w:u w:val="single"/>
        </w:rPr>
        <w:t>在经济周期第三阶段，</w:t>
      </w:r>
      <w:r>
        <w:rPr>
          <w:rFonts w:ascii="Arial" w:hAnsi="Arial" w:eastAsia="等线" w:cs="Arial"/>
          <w:sz w:val="22"/>
        </w:rPr>
        <w:t>三指标同步上行，经济全面恢复，企业利润率高速上行。从资产配置角度看，此时各行各业生产力火力全开，对原材料需求较高，商品迎来行情，此使股票受益于企业基本面快速抬升以及经济上行的预期会获得普涨，此阶段建议高配股票和商品。</w:t>
      </w:r>
    </w:p>
    <w:p w14:paraId="1AD6F05C">
      <w:pPr>
        <w:numPr>
          <w:ilvl w:val="0"/>
          <w:numId w:val="61"/>
        </w:numPr>
        <w:spacing w:before="120" w:after="120" w:line="288" w:lineRule="auto"/>
        <w:ind w:left="0"/>
        <w:jc w:val="left"/>
      </w:pPr>
      <w:r>
        <w:rPr>
          <w:rFonts w:ascii="Arial" w:hAnsi="Arial" w:eastAsia="等线" w:cs="Arial"/>
          <w:sz w:val="22"/>
          <w:u w:val="single"/>
        </w:rPr>
        <w:t>在经济周期第四阶段，</w:t>
      </w:r>
      <w:r>
        <w:rPr>
          <w:rFonts w:ascii="Arial" w:hAnsi="Arial" w:eastAsia="等线" w:cs="Arial"/>
          <w:sz w:val="22"/>
        </w:rPr>
        <w:t>生产增长开始减缓，通货膨胀上升。GDP增长虽然在上升，但增速已明显放缓，为抑制过热的投资，央行开始加息减少货币供应量。从资产配置角度看，由于股票投资收益依赖企业的利润率和利率水平，商品是最佳的资产配置选择，同时股票也有一定的配置价值，但是需要重点关注盈利支撑。</w:t>
      </w:r>
    </w:p>
    <w:p w14:paraId="4533915F">
      <w:pPr>
        <w:numPr>
          <w:ilvl w:val="0"/>
          <w:numId w:val="62"/>
        </w:numPr>
        <w:spacing w:before="120" w:after="120" w:line="288" w:lineRule="auto"/>
        <w:ind w:left="0"/>
        <w:jc w:val="left"/>
      </w:pPr>
      <w:r>
        <w:rPr>
          <w:rFonts w:ascii="Arial" w:hAnsi="Arial" w:eastAsia="等线" w:cs="Arial"/>
          <w:sz w:val="22"/>
          <w:u w:val="single"/>
        </w:rPr>
        <w:t>在经济周期第五阶段，</w:t>
      </w:r>
      <w:r>
        <w:rPr>
          <w:rFonts w:ascii="Arial" w:hAnsi="Arial" w:eastAsia="等线" w:cs="Arial"/>
          <w:sz w:val="22"/>
        </w:rPr>
        <w:t>GDP增长降低到长期增长趋势以下，但是通货膨胀依然继续上升，经济进入滞胀阶段。从资产配置角度看，权益市场已经疲态初现，不建议配置，而商品处于最后的疯狂，可以配置但是有一定的风险，此时黄金成为最优资产。</w:t>
      </w:r>
    </w:p>
    <w:p w14:paraId="1456FE6B">
      <w:pPr>
        <w:numPr>
          <w:ilvl w:val="0"/>
          <w:numId w:val="63"/>
        </w:numPr>
        <w:spacing w:before="120" w:after="120" w:line="288" w:lineRule="auto"/>
        <w:ind w:left="0"/>
        <w:jc w:val="left"/>
      </w:pPr>
      <w:r>
        <w:rPr>
          <w:rFonts w:ascii="Arial" w:hAnsi="Arial" w:eastAsia="等线" w:cs="Arial"/>
          <w:sz w:val="22"/>
          <w:u w:val="single"/>
        </w:rPr>
        <w:t>在经济周期第六阶段，</w:t>
      </w:r>
      <w:r>
        <w:rPr>
          <w:rFonts w:ascii="Arial" w:hAnsi="Arial" w:eastAsia="等线" w:cs="Arial"/>
          <w:sz w:val="22"/>
        </w:rPr>
        <w:t>三指标同步下行，经济增长严重乏力，从而导致了通货膨胀开始下降，企业利润率也遭遇滑铁卢。从资产配置角度看，此时建议配置避险属性明显的黄金与债券，其中债券以现金更优。</w:t>
      </w:r>
    </w:p>
    <w:p w14:paraId="02DE5577">
      <w:pPr>
        <w:spacing w:before="120" w:after="120" w:line="288" w:lineRule="auto"/>
        <w:ind w:left="0"/>
        <w:jc w:val="left"/>
      </w:pPr>
      <w:r>
        <w:rPr>
          <w:rFonts w:ascii="Arial" w:hAnsi="Arial" w:eastAsia="等线" w:cs="Arial"/>
          <w:sz w:val="22"/>
        </w:rPr>
        <w:t>另外值得注意的是，普林格提到，不是所有的经济周期都会经历所有的六个阶段，偶尔经济周期会跳过1个阶段，也可能倒退到上一个阶段。</w:t>
      </w:r>
    </w:p>
    <w:p w14:paraId="22A33E0B">
      <w:pPr>
        <w:spacing w:before="120" w:after="120" w:line="288" w:lineRule="auto"/>
        <w:ind w:left="0"/>
        <w:jc w:val="center"/>
      </w:pPr>
      <w:r>
        <w:drawing>
          <wp:inline distT="0" distB="0" distL="0" distR="0">
            <wp:extent cx="5257800" cy="2143125"/>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8"/>
                    <a:stretch>
                      <a:fillRect/>
                    </a:stretch>
                  </pic:blipFill>
                  <pic:spPr>
                    <a:xfrm>
                      <a:off x="0" y="0"/>
                      <a:ext cx="5257800" cy="2143125"/>
                    </a:xfrm>
                    <a:prstGeom prst="rect">
                      <a:avLst/>
                    </a:prstGeom>
                  </pic:spPr>
                </pic:pic>
              </a:graphicData>
            </a:graphic>
          </wp:inline>
        </w:drawing>
      </w:r>
    </w:p>
    <w:p w14:paraId="239F09D6">
      <w:pPr>
        <w:spacing w:before="120" w:after="120" w:line="288" w:lineRule="auto"/>
        <w:ind w:left="0"/>
        <w:jc w:val="left"/>
      </w:pPr>
      <w:r>
        <w:rPr>
          <w:rFonts w:ascii="Arial" w:hAnsi="Arial" w:eastAsia="等线" w:cs="Arial"/>
          <w:b/>
          <w:color w:val="D83931"/>
          <w:sz w:val="22"/>
        </w:rPr>
        <w:t>关于如何运用模型识别经济周期中的不同阶段，普林格构建了债券、股票和商品的晴雨表来判断三个市场的上行或下行，进而确定所处的经济周期阶段。</w:t>
      </w:r>
      <w:r>
        <w:rPr>
          <w:rFonts w:ascii="Arial" w:hAnsi="Arial" w:eastAsia="等线" w:cs="Arial"/>
          <w:sz w:val="22"/>
        </w:rPr>
        <w:t>每个晴雨表包括12-15个不同种类的成分指标，当大多数成分指标发出积极信号时，晴雨表为看涨模式，晴雨表最终合成0-100%之间的一个分位数，看涨时则大于50%。</w:t>
      </w:r>
    </w:p>
    <w:p w14:paraId="1C617144">
      <w:pPr>
        <w:spacing w:before="120" w:after="120" w:line="288" w:lineRule="auto"/>
        <w:ind w:left="0"/>
        <w:jc w:val="center"/>
      </w:pPr>
      <w:r>
        <w:drawing>
          <wp:inline distT="0" distB="0" distL="0" distR="0">
            <wp:extent cx="5257800" cy="3305175"/>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9"/>
                    <a:stretch>
                      <a:fillRect/>
                    </a:stretch>
                  </pic:blipFill>
                  <pic:spPr>
                    <a:xfrm>
                      <a:off x="0" y="0"/>
                      <a:ext cx="5257800" cy="3305175"/>
                    </a:xfrm>
                    <a:prstGeom prst="rect">
                      <a:avLst/>
                    </a:prstGeom>
                  </pic:spPr>
                </pic:pic>
              </a:graphicData>
            </a:graphic>
          </wp:inline>
        </w:drawing>
      </w:r>
    </w:p>
    <w:p w14:paraId="08C61F37">
      <w:pPr>
        <w:spacing w:before="120" w:after="120" w:line="288" w:lineRule="auto"/>
        <w:ind w:left="0"/>
        <w:jc w:val="left"/>
      </w:pPr>
      <w:r>
        <w:rPr>
          <w:rFonts w:ascii="Arial" w:hAnsi="Arial" w:eastAsia="等线" w:cs="Arial"/>
          <w:b/>
          <w:color w:val="D83931"/>
          <w:sz w:val="22"/>
        </w:rPr>
        <w:t>此外，普林格也进一步提出应用易于遵循的指标来识别经济周期各阶段的转折点，如：贴现率、领先经济指标、同步经济指标、滞后指标、收益率曲线、领先指标/滞后指标比率、股票/商品比率、扭矩指标、商品/债券比率。</w:t>
      </w:r>
      <w:r>
        <w:rPr>
          <w:rFonts w:ascii="Arial" w:hAnsi="Arial" w:eastAsia="等线" w:cs="Arial"/>
          <w:sz w:val="22"/>
        </w:rPr>
        <w:t>其中领先指标总是在阶段5的开始或中间阶段出现波峰，而波谷总是出现在阶段2的初期阶段；同步指标在领先指标之后出现波峰和波谷，通常在阶段5的末端达到顶点，偶尔在阶段6才转向，这个趋向底部的过程一直持续到阶段2的末期；滞后指标的波峰通常出现在阶段2开始时期，波谷通常出现在阶段4。实际应用过程中，可以使用上述指标来识别普林格周期的六个阶段。</w:t>
      </w:r>
    </w:p>
    <w:p w14:paraId="122C23D7">
      <w:pPr>
        <w:spacing w:before="120" w:after="120" w:line="288" w:lineRule="auto"/>
        <w:ind w:left="0"/>
        <w:jc w:val="center"/>
      </w:pPr>
      <w:r>
        <w:drawing>
          <wp:inline distT="0" distB="0" distL="0" distR="0">
            <wp:extent cx="5257800" cy="3876675"/>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10"/>
                    <a:stretch>
                      <a:fillRect/>
                    </a:stretch>
                  </pic:blipFill>
                  <pic:spPr>
                    <a:xfrm>
                      <a:off x="0" y="0"/>
                      <a:ext cx="5257800" cy="3876675"/>
                    </a:xfrm>
                    <a:prstGeom prst="rect">
                      <a:avLst/>
                    </a:prstGeom>
                  </pic:spPr>
                </pic:pic>
              </a:graphicData>
            </a:graphic>
          </wp:inline>
        </w:drawing>
      </w:r>
    </w:p>
    <w:p w14:paraId="0B7E8E09">
      <w:pPr>
        <w:numPr>
          <w:numId w:val="0"/>
        </w:numPr>
        <w:spacing w:before="120" w:after="120" w:line="288" w:lineRule="auto"/>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9F6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EFBF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DED65"/>
    <w:multiLevelType w:val="singleLevel"/>
    <w:tmpl w:val="807DED65"/>
    <w:lvl w:ilvl="0" w:tentative="0">
      <w:start w:val="0"/>
      <w:numFmt w:val="bullet"/>
      <w:lvlText w:val="•"/>
      <w:lvlJc w:val="left"/>
      <w:rPr>
        <w:color w:val="3370FF"/>
      </w:rPr>
    </w:lvl>
  </w:abstractNum>
  <w:abstractNum w:abstractNumId="1">
    <w:nsid w:val="83DCDCF3"/>
    <w:multiLevelType w:val="singleLevel"/>
    <w:tmpl w:val="83DCDCF3"/>
    <w:lvl w:ilvl="0" w:tentative="0">
      <w:start w:val="0"/>
      <w:numFmt w:val="bullet"/>
      <w:lvlText w:val="￮"/>
      <w:lvlJc w:val="left"/>
      <w:rPr>
        <w:color w:val="3370FF"/>
      </w:rPr>
    </w:lvl>
  </w:abstractNum>
  <w:abstractNum w:abstractNumId="2">
    <w:nsid w:val="87219AA5"/>
    <w:multiLevelType w:val="singleLevel"/>
    <w:tmpl w:val="87219AA5"/>
    <w:lvl w:ilvl="0" w:tentative="0">
      <w:start w:val="0"/>
      <w:numFmt w:val="bullet"/>
      <w:lvlText w:val="•"/>
      <w:lvlJc w:val="left"/>
      <w:rPr>
        <w:color w:val="3370FF"/>
      </w:rPr>
    </w:lvl>
  </w:abstractNum>
  <w:abstractNum w:abstractNumId="3">
    <w:nsid w:val="89D270FF"/>
    <w:multiLevelType w:val="singleLevel"/>
    <w:tmpl w:val="89D270FF"/>
    <w:lvl w:ilvl="0" w:tentative="0">
      <w:start w:val="2"/>
      <w:numFmt w:val="decimal"/>
      <w:lvlText w:val="%1."/>
      <w:lvlJc w:val="left"/>
      <w:rPr>
        <w:color w:val="3370FF"/>
      </w:rPr>
    </w:lvl>
  </w:abstractNum>
  <w:abstractNum w:abstractNumId="4">
    <w:nsid w:val="9497C164"/>
    <w:multiLevelType w:val="singleLevel"/>
    <w:tmpl w:val="9497C164"/>
    <w:lvl w:ilvl="0" w:tentative="0">
      <w:start w:val="0"/>
      <w:numFmt w:val="bullet"/>
      <w:lvlText w:val="￮"/>
      <w:lvlJc w:val="left"/>
      <w:rPr>
        <w:color w:val="3370FF"/>
      </w:rPr>
    </w:lvl>
  </w:abstractNum>
  <w:abstractNum w:abstractNumId="5">
    <w:nsid w:val="9D504922"/>
    <w:multiLevelType w:val="singleLevel"/>
    <w:tmpl w:val="9D504922"/>
    <w:lvl w:ilvl="0" w:tentative="0">
      <w:start w:val="0"/>
      <w:numFmt w:val="bullet"/>
      <w:lvlText w:val="•"/>
      <w:lvlJc w:val="left"/>
      <w:rPr>
        <w:color w:val="3370FF"/>
      </w:rPr>
    </w:lvl>
  </w:abstractNum>
  <w:abstractNum w:abstractNumId="6">
    <w:nsid w:val="9DC21951"/>
    <w:multiLevelType w:val="singleLevel"/>
    <w:tmpl w:val="9DC21951"/>
    <w:lvl w:ilvl="0" w:tentative="0">
      <w:start w:val="0"/>
      <w:numFmt w:val="bullet"/>
      <w:lvlText w:val="•"/>
      <w:lvlJc w:val="left"/>
      <w:rPr>
        <w:color w:val="3370FF"/>
      </w:rPr>
    </w:lvl>
  </w:abstractNum>
  <w:abstractNum w:abstractNumId="7">
    <w:nsid w:val="9F859DE7"/>
    <w:multiLevelType w:val="singleLevel"/>
    <w:tmpl w:val="9F859DE7"/>
    <w:lvl w:ilvl="0" w:tentative="0">
      <w:start w:val="0"/>
      <w:numFmt w:val="bullet"/>
      <w:lvlText w:val="•"/>
      <w:lvlJc w:val="left"/>
      <w:rPr>
        <w:color w:val="3370FF"/>
      </w:rPr>
    </w:lvl>
  </w:abstractNum>
  <w:abstractNum w:abstractNumId="8">
    <w:nsid w:val="A10EAA63"/>
    <w:multiLevelType w:val="singleLevel"/>
    <w:tmpl w:val="A10EAA63"/>
    <w:lvl w:ilvl="0" w:tentative="0">
      <w:start w:val="0"/>
      <w:numFmt w:val="bullet"/>
      <w:lvlText w:val="•"/>
      <w:lvlJc w:val="left"/>
      <w:rPr>
        <w:color w:val="3370FF"/>
      </w:rPr>
    </w:lvl>
  </w:abstractNum>
  <w:abstractNum w:abstractNumId="9">
    <w:nsid w:val="A1419710"/>
    <w:multiLevelType w:val="singleLevel"/>
    <w:tmpl w:val="A1419710"/>
    <w:lvl w:ilvl="0" w:tentative="0">
      <w:start w:val="0"/>
      <w:numFmt w:val="bullet"/>
      <w:lvlText w:val="▪"/>
      <w:lvlJc w:val="left"/>
      <w:rPr>
        <w:color w:val="3370FF"/>
        <w:sz w:val="11"/>
      </w:rPr>
    </w:lvl>
  </w:abstractNum>
  <w:abstractNum w:abstractNumId="10">
    <w:nsid w:val="A346B821"/>
    <w:multiLevelType w:val="singleLevel"/>
    <w:tmpl w:val="A346B821"/>
    <w:lvl w:ilvl="0" w:tentative="0">
      <w:start w:val="0"/>
      <w:numFmt w:val="bullet"/>
      <w:lvlText w:val="▪"/>
      <w:lvlJc w:val="left"/>
      <w:rPr>
        <w:color w:val="3370FF"/>
        <w:sz w:val="11"/>
      </w:rPr>
    </w:lvl>
  </w:abstractNum>
  <w:abstractNum w:abstractNumId="11">
    <w:nsid w:val="ACB488C1"/>
    <w:multiLevelType w:val="singleLevel"/>
    <w:tmpl w:val="ACB488C1"/>
    <w:lvl w:ilvl="0" w:tentative="0">
      <w:start w:val="0"/>
      <w:numFmt w:val="bullet"/>
      <w:lvlText w:val="•"/>
      <w:lvlJc w:val="left"/>
      <w:rPr>
        <w:color w:val="3370FF"/>
      </w:rPr>
    </w:lvl>
  </w:abstractNum>
  <w:abstractNum w:abstractNumId="12">
    <w:nsid w:val="AD8D0E0B"/>
    <w:multiLevelType w:val="singleLevel"/>
    <w:tmpl w:val="AD8D0E0B"/>
    <w:lvl w:ilvl="0" w:tentative="0">
      <w:start w:val="0"/>
      <w:numFmt w:val="bullet"/>
      <w:lvlText w:val="￮"/>
      <w:lvlJc w:val="left"/>
      <w:rPr>
        <w:color w:val="3370FF"/>
      </w:rPr>
    </w:lvl>
  </w:abstractNum>
  <w:abstractNum w:abstractNumId="13">
    <w:nsid w:val="B9637847"/>
    <w:multiLevelType w:val="singleLevel"/>
    <w:tmpl w:val="B9637847"/>
    <w:lvl w:ilvl="0" w:tentative="0">
      <w:start w:val="0"/>
      <w:numFmt w:val="bullet"/>
      <w:lvlText w:val="•"/>
      <w:lvlJc w:val="left"/>
      <w:rPr>
        <w:color w:val="3370FF"/>
      </w:rPr>
    </w:lvl>
  </w:abstractNum>
  <w:abstractNum w:abstractNumId="14">
    <w:nsid w:val="BD2096B8"/>
    <w:multiLevelType w:val="singleLevel"/>
    <w:tmpl w:val="BD2096B8"/>
    <w:lvl w:ilvl="0" w:tentative="0">
      <w:start w:val="0"/>
      <w:numFmt w:val="bullet"/>
      <w:lvlText w:val="￮"/>
      <w:lvlJc w:val="left"/>
      <w:rPr>
        <w:color w:val="3370FF"/>
      </w:rPr>
    </w:lvl>
  </w:abstractNum>
  <w:abstractNum w:abstractNumId="15">
    <w:nsid w:val="BF0EF92C"/>
    <w:multiLevelType w:val="singleLevel"/>
    <w:tmpl w:val="BF0EF92C"/>
    <w:lvl w:ilvl="0" w:tentative="0">
      <w:start w:val="0"/>
      <w:numFmt w:val="bullet"/>
      <w:lvlText w:val="•"/>
      <w:lvlJc w:val="left"/>
      <w:rPr>
        <w:color w:val="3370FF"/>
      </w:rPr>
    </w:lvl>
  </w:abstractNum>
  <w:abstractNum w:abstractNumId="16">
    <w:nsid w:val="C542370E"/>
    <w:multiLevelType w:val="singleLevel"/>
    <w:tmpl w:val="C542370E"/>
    <w:lvl w:ilvl="0" w:tentative="0">
      <w:start w:val="0"/>
      <w:numFmt w:val="bullet"/>
      <w:lvlText w:val="▪"/>
      <w:lvlJc w:val="left"/>
      <w:rPr>
        <w:color w:val="3370FF"/>
        <w:sz w:val="11"/>
      </w:rPr>
    </w:lvl>
  </w:abstractNum>
  <w:abstractNum w:abstractNumId="17">
    <w:nsid w:val="C93FD7B6"/>
    <w:multiLevelType w:val="singleLevel"/>
    <w:tmpl w:val="C93FD7B6"/>
    <w:lvl w:ilvl="0" w:tentative="0">
      <w:start w:val="0"/>
      <w:numFmt w:val="bullet"/>
      <w:lvlText w:val="￮"/>
      <w:lvlJc w:val="left"/>
      <w:rPr>
        <w:color w:val="3370FF"/>
      </w:rPr>
    </w:lvl>
  </w:abstractNum>
  <w:abstractNum w:abstractNumId="18">
    <w:nsid w:val="D330E0CC"/>
    <w:multiLevelType w:val="singleLevel"/>
    <w:tmpl w:val="D330E0CC"/>
    <w:lvl w:ilvl="0" w:tentative="0">
      <w:start w:val="1"/>
      <w:numFmt w:val="lowerLetter"/>
      <w:lvlText w:val="%1."/>
      <w:lvlJc w:val="left"/>
      <w:rPr>
        <w:color w:val="3370FF"/>
      </w:rPr>
    </w:lvl>
  </w:abstractNum>
  <w:abstractNum w:abstractNumId="19">
    <w:nsid w:val="D6508B03"/>
    <w:multiLevelType w:val="singleLevel"/>
    <w:tmpl w:val="D6508B03"/>
    <w:lvl w:ilvl="0" w:tentative="0">
      <w:start w:val="0"/>
      <w:numFmt w:val="bullet"/>
      <w:lvlText w:val="￮"/>
      <w:lvlJc w:val="left"/>
      <w:rPr>
        <w:color w:val="3370FF"/>
      </w:rPr>
    </w:lvl>
  </w:abstractNum>
  <w:abstractNum w:abstractNumId="20">
    <w:nsid w:val="D772C73B"/>
    <w:multiLevelType w:val="singleLevel"/>
    <w:tmpl w:val="D772C73B"/>
    <w:lvl w:ilvl="0" w:tentative="0">
      <w:start w:val="0"/>
      <w:numFmt w:val="bullet"/>
      <w:lvlText w:val="•"/>
      <w:lvlJc w:val="left"/>
      <w:rPr>
        <w:color w:val="3370FF"/>
      </w:rPr>
    </w:lvl>
  </w:abstractNum>
  <w:abstractNum w:abstractNumId="21">
    <w:nsid w:val="D824849B"/>
    <w:multiLevelType w:val="singleLevel"/>
    <w:tmpl w:val="D824849B"/>
    <w:lvl w:ilvl="0" w:tentative="0">
      <w:start w:val="0"/>
      <w:numFmt w:val="bullet"/>
      <w:lvlText w:val="￮"/>
      <w:lvlJc w:val="left"/>
      <w:rPr>
        <w:color w:val="3370FF"/>
      </w:rPr>
    </w:lvl>
  </w:abstractNum>
  <w:abstractNum w:abstractNumId="22">
    <w:nsid w:val="DC0508EF"/>
    <w:multiLevelType w:val="singleLevel"/>
    <w:tmpl w:val="DC0508EF"/>
    <w:lvl w:ilvl="0" w:tentative="0">
      <w:start w:val="0"/>
      <w:numFmt w:val="bullet"/>
      <w:lvlText w:val="￮"/>
      <w:lvlJc w:val="left"/>
      <w:rPr>
        <w:color w:val="3370FF"/>
      </w:rPr>
    </w:lvl>
  </w:abstractNum>
  <w:abstractNum w:abstractNumId="23">
    <w:nsid w:val="DED44C4A"/>
    <w:multiLevelType w:val="singleLevel"/>
    <w:tmpl w:val="DED44C4A"/>
    <w:lvl w:ilvl="0" w:tentative="0">
      <w:start w:val="1"/>
      <w:numFmt w:val="decimal"/>
      <w:lvlText w:val="%1."/>
      <w:lvlJc w:val="left"/>
      <w:rPr>
        <w:color w:val="3370FF"/>
      </w:rPr>
    </w:lvl>
  </w:abstractNum>
  <w:abstractNum w:abstractNumId="24">
    <w:nsid w:val="E334C29D"/>
    <w:multiLevelType w:val="singleLevel"/>
    <w:tmpl w:val="E334C29D"/>
    <w:lvl w:ilvl="0" w:tentative="0">
      <w:start w:val="0"/>
      <w:numFmt w:val="bullet"/>
      <w:lvlText w:val="•"/>
      <w:lvlJc w:val="left"/>
      <w:rPr>
        <w:color w:val="3370FF"/>
      </w:rPr>
    </w:lvl>
  </w:abstractNum>
  <w:abstractNum w:abstractNumId="25">
    <w:nsid w:val="E48AB804"/>
    <w:multiLevelType w:val="singleLevel"/>
    <w:tmpl w:val="E48AB804"/>
    <w:lvl w:ilvl="0" w:tentative="0">
      <w:start w:val="0"/>
      <w:numFmt w:val="bullet"/>
      <w:lvlText w:val="•"/>
      <w:lvlJc w:val="left"/>
      <w:rPr>
        <w:color w:val="3370FF"/>
      </w:rPr>
    </w:lvl>
  </w:abstractNum>
  <w:abstractNum w:abstractNumId="26">
    <w:nsid w:val="EA2ED2C6"/>
    <w:multiLevelType w:val="singleLevel"/>
    <w:tmpl w:val="EA2ED2C6"/>
    <w:lvl w:ilvl="0" w:tentative="0">
      <w:start w:val="0"/>
      <w:numFmt w:val="bullet"/>
      <w:lvlText w:val="￮"/>
      <w:lvlJc w:val="left"/>
      <w:rPr>
        <w:color w:val="3370FF"/>
      </w:rPr>
    </w:lvl>
  </w:abstractNum>
  <w:abstractNum w:abstractNumId="27">
    <w:nsid w:val="F9962636"/>
    <w:multiLevelType w:val="singleLevel"/>
    <w:tmpl w:val="F9962636"/>
    <w:lvl w:ilvl="0" w:tentative="0">
      <w:start w:val="0"/>
      <w:numFmt w:val="bullet"/>
      <w:lvlText w:val="￮"/>
      <w:lvlJc w:val="left"/>
      <w:rPr>
        <w:color w:val="3370FF"/>
      </w:rPr>
    </w:lvl>
  </w:abstractNum>
  <w:abstractNum w:abstractNumId="28">
    <w:nsid w:val="0FD9CEB8"/>
    <w:multiLevelType w:val="singleLevel"/>
    <w:tmpl w:val="0FD9CEB8"/>
    <w:lvl w:ilvl="0" w:tentative="0">
      <w:start w:val="0"/>
      <w:numFmt w:val="bullet"/>
      <w:lvlText w:val="￮"/>
      <w:lvlJc w:val="left"/>
      <w:rPr>
        <w:color w:val="3370FF"/>
      </w:rPr>
    </w:lvl>
  </w:abstractNum>
  <w:abstractNum w:abstractNumId="29">
    <w:nsid w:val="14ED8191"/>
    <w:multiLevelType w:val="singleLevel"/>
    <w:tmpl w:val="14ED8191"/>
    <w:lvl w:ilvl="0" w:tentative="0">
      <w:start w:val="1"/>
      <w:numFmt w:val="lowerLetter"/>
      <w:lvlText w:val="%1."/>
      <w:lvlJc w:val="left"/>
      <w:rPr>
        <w:color w:val="3370FF"/>
      </w:rPr>
    </w:lvl>
  </w:abstractNum>
  <w:abstractNum w:abstractNumId="30">
    <w:nsid w:val="156A4D69"/>
    <w:multiLevelType w:val="singleLevel"/>
    <w:tmpl w:val="156A4D69"/>
    <w:lvl w:ilvl="0" w:tentative="0">
      <w:start w:val="0"/>
      <w:numFmt w:val="bullet"/>
      <w:lvlText w:val="•"/>
      <w:lvlJc w:val="left"/>
      <w:rPr>
        <w:color w:val="3370FF"/>
      </w:rPr>
    </w:lvl>
  </w:abstractNum>
  <w:abstractNum w:abstractNumId="31">
    <w:nsid w:val="165CA270"/>
    <w:multiLevelType w:val="singleLevel"/>
    <w:tmpl w:val="165CA270"/>
    <w:lvl w:ilvl="0" w:tentative="0">
      <w:start w:val="0"/>
      <w:numFmt w:val="bullet"/>
      <w:lvlText w:val="￮"/>
      <w:lvlJc w:val="left"/>
      <w:rPr>
        <w:color w:val="3370FF"/>
      </w:rPr>
    </w:lvl>
  </w:abstractNum>
  <w:abstractNum w:abstractNumId="32">
    <w:nsid w:val="17F3A6E5"/>
    <w:multiLevelType w:val="singleLevel"/>
    <w:tmpl w:val="17F3A6E5"/>
    <w:lvl w:ilvl="0" w:tentative="0">
      <w:start w:val="0"/>
      <w:numFmt w:val="bullet"/>
      <w:lvlText w:val="•"/>
      <w:lvlJc w:val="left"/>
      <w:rPr>
        <w:color w:val="3370FF"/>
      </w:rPr>
    </w:lvl>
  </w:abstractNum>
  <w:abstractNum w:abstractNumId="33">
    <w:nsid w:val="182AD4A0"/>
    <w:multiLevelType w:val="singleLevel"/>
    <w:tmpl w:val="182AD4A0"/>
    <w:lvl w:ilvl="0" w:tentative="0">
      <w:start w:val="2"/>
      <w:numFmt w:val="lowerLetter"/>
      <w:lvlText w:val="%1."/>
      <w:lvlJc w:val="left"/>
      <w:rPr>
        <w:color w:val="3370FF"/>
      </w:rPr>
    </w:lvl>
  </w:abstractNum>
  <w:abstractNum w:abstractNumId="34">
    <w:nsid w:val="1AF2C9F0"/>
    <w:multiLevelType w:val="singleLevel"/>
    <w:tmpl w:val="1AF2C9F0"/>
    <w:lvl w:ilvl="0" w:tentative="0">
      <w:start w:val="0"/>
      <w:numFmt w:val="bullet"/>
      <w:lvlText w:val="•"/>
      <w:lvlJc w:val="left"/>
      <w:rPr>
        <w:color w:val="3370FF"/>
      </w:rPr>
    </w:lvl>
  </w:abstractNum>
  <w:abstractNum w:abstractNumId="35">
    <w:nsid w:val="2C26ABA8"/>
    <w:multiLevelType w:val="singleLevel"/>
    <w:tmpl w:val="2C26ABA8"/>
    <w:lvl w:ilvl="0" w:tentative="0">
      <w:start w:val="0"/>
      <w:numFmt w:val="bullet"/>
      <w:lvlText w:val="￮"/>
      <w:lvlJc w:val="left"/>
      <w:rPr>
        <w:color w:val="3370FF"/>
      </w:rPr>
    </w:lvl>
  </w:abstractNum>
  <w:abstractNum w:abstractNumId="36">
    <w:nsid w:val="2EAA8B68"/>
    <w:multiLevelType w:val="singleLevel"/>
    <w:tmpl w:val="2EAA8B68"/>
    <w:lvl w:ilvl="0" w:tentative="0">
      <w:start w:val="0"/>
      <w:numFmt w:val="bullet"/>
      <w:lvlText w:val="•"/>
      <w:lvlJc w:val="left"/>
      <w:rPr>
        <w:color w:val="3370FF"/>
      </w:rPr>
    </w:lvl>
  </w:abstractNum>
  <w:abstractNum w:abstractNumId="37">
    <w:nsid w:val="300A3415"/>
    <w:multiLevelType w:val="singleLevel"/>
    <w:tmpl w:val="300A3415"/>
    <w:lvl w:ilvl="0" w:tentative="0">
      <w:start w:val="0"/>
      <w:numFmt w:val="bullet"/>
      <w:lvlText w:val="￮"/>
      <w:lvlJc w:val="left"/>
      <w:rPr>
        <w:color w:val="3370FF"/>
      </w:rPr>
    </w:lvl>
  </w:abstractNum>
  <w:abstractNum w:abstractNumId="38">
    <w:nsid w:val="3315E9DF"/>
    <w:multiLevelType w:val="singleLevel"/>
    <w:tmpl w:val="3315E9DF"/>
    <w:lvl w:ilvl="0" w:tentative="0">
      <w:start w:val="0"/>
      <w:numFmt w:val="bullet"/>
      <w:lvlText w:val="￮"/>
      <w:lvlJc w:val="left"/>
      <w:rPr>
        <w:color w:val="3370FF"/>
      </w:rPr>
    </w:lvl>
  </w:abstractNum>
  <w:abstractNum w:abstractNumId="39">
    <w:nsid w:val="336CD42B"/>
    <w:multiLevelType w:val="singleLevel"/>
    <w:tmpl w:val="336CD42B"/>
    <w:lvl w:ilvl="0" w:tentative="0">
      <w:start w:val="0"/>
      <w:numFmt w:val="bullet"/>
      <w:lvlText w:val="•"/>
      <w:lvlJc w:val="left"/>
      <w:rPr>
        <w:color w:val="3370FF"/>
      </w:rPr>
    </w:lvl>
  </w:abstractNum>
  <w:abstractNum w:abstractNumId="40">
    <w:nsid w:val="3462653D"/>
    <w:multiLevelType w:val="singleLevel"/>
    <w:tmpl w:val="3462653D"/>
    <w:lvl w:ilvl="0" w:tentative="0">
      <w:start w:val="0"/>
      <w:numFmt w:val="bullet"/>
      <w:lvlText w:val="￮"/>
      <w:lvlJc w:val="left"/>
      <w:rPr>
        <w:color w:val="3370FF"/>
      </w:rPr>
    </w:lvl>
  </w:abstractNum>
  <w:abstractNum w:abstractNumId="41">
    <w:nsid w:val="389036F6"/>
    <w:multiLevelType w:val="singleLevel"/>
    <w:tmpl w:val="389036F6"/>
    <w:lvl w:ilvl="0" w:tentative="0">
      <w:start w:val="0"/>
      <w:numFmt w:val="bullet"/>
      <w:lvlText w:val="▪"/>
      <w:lvlJc w:val="left"/>
      <w:rPr>
        <w:color w:val="3370FF"/>
        <w:sz w:val="11"/>
      </w:rPr>
    </w:lvl>
  </w:abstractNum>
  <w:abstractNum w:abstractNumId="42">
    <w:nsid w:val="39009AF2"/>
    <w:multiLevelType w:val="singleLevel"/>
    <w:tmpl w:val="39009AF2"/>
    <w:lvl w:ilvl="0" w:tentative="0">
      <w:start w:val="0"/>
      <w:numFmt w:val="bullet"/>
      <w:lvlText w:val="•"/>
      <w:lvlJc w:val="left"/>
      <w:rPr>
        <w:color w:val="3370FF"/>
      </w:rPr>
    </w:lvl>
  </w:abstractNum>
  <w:abstractNum w:abstractNumId="43">
    <w:nsid w:val="3FA5DF97"/>
    <w:multiLevelType w:val="singleLevel"/>
    <w:tmpl w:val="3FA5DF97"/>
    <w:lvl w:ilvl="0" w:tentative="0">
      <w:start w:val="0"/>
      <w:numFmt w:val="bullet"/>
      <w:lvlText w:val="▪"/>
      <w:lvlJc w:val="left"/>
      <w:rPr>
        <w:color w:val="3370FF"/>
        <w:sz w:val="11"/>
      </w:rPr>
    </w:lvl>
  </w:abstractNum>
  <w:abstractNum w:abstractNumId="44">
    <w:nsid w:val="4195D791"/>
    <w:multiLevelType w:val="singleLevel"/>
    <w:tmpl w:val="4195D791"/>
    <w:lvl w:ilvl="0" w:tentative="0">
      <w:start w:val="0"/>
      <w:numFmt w:val="bullet"/>
      <w:lvlText w:val="•"/>
      <w:lvlJc w:val="left"/>
      <w:rPr>
        <w:color w:val="3370FF"/>
      </w:rPr>
    </w:lvl>
  </w:abstractNum>
  <w:abstractNum w:abstractNumId="45">
    <w:nsid w:val="42CE943E"/>
    <w:multiLevelType w:val="singleLevel"/>
    <w:tmpl w:val="42CE943E"/>
    <w:lvl w:ilvl="0" w:tentative="0">
      <w:start w:val="0"/>
      <w:numFmt w:val="bullet"/>
      <w:lvlText w:val="•"/>
      <w:lvlJc w:val="left"/>
      <w:rPr>
        <w:color w:val="3370FF"/>
      </w:rPr>
    </w:lvl>
  </w:abstractNum>
  <w:abstractNum w:abstractNumId="46">
    <w:nsid w:val="43BC03C6"/>
    <w:multiLevelType w:val="singleLevel"/>
    <w:tmpl w:val="43BC03C6"/>
    <w:lvl w:ilvl="0" w:tentative="0">
      <w:start w:val="2"/>
      <w:numFmt w:val="lowerLetter"/>
      <w:lvlText w:val="%1."/>
      <w:lvlJc w:val="left"/>
      <w:rPr>
        <w:color w:val="3370FF"/>
      </w:rPr>
    </w:lvl>
  </w:abstractNum>
  <w:abstractNum w:abstractNumId="47">
    <w:nsid w:val="485AC48A"/>
    <w:multiLevelType w:val="singleLevel"/>
    <w:tmpl w:val="485AC48A"/>
    <w:lvl w:ilvl="0" w:tentative="0">
      <w:start w:val="0"/>
      <w:numFmt w:val="bullet"/>
      <w:lvlText w:val="￮"/>
      <w:lvlJc w:val="left"/>
      <w:rPr>
        <w:color w:val="3370FF"/>
      </w:rPr>
    </w:lvl>
  </w:abstractNum>
  <w:abstractNum w:abstractNumId="48">
    <w:nsid w:val="4CAFA515"/>
    <w:multiLevelType w:val="singleLevel"/>
    <w:tmpl w:val="4CAFA515"/>
    <w:lvl w:ilvl="0" w:tentative="0">
      <w:start w:val="2"/>
      <w:numFmt w:val="lowerLetter"/>
      <w:lvlText w:val="%1."/>
      <w:lvlJc w:val="left"/>
      <w:rPr>
        <w:color w:val="3370FF"/>
      </w:rPr>
    </w:lvl>
  </w:abstractNum>
  <w:abstractNum w:abstractNumId="49">
    <w:nsid w:val="4F704EFF"/>
    <w:multiLevelType w:val="singleLevel"/>
    <w:tmpl w:val="4F704EFF"/>
    <w:lvl w:ilvl="0" w:tentative="0">
      <w:start w:val="0"/>
      <w:numFmt w:val="bullet"/>
      <w:lvlText w:val="▪"/>
      <w:lvlJc w:val="left"/>
      <w:rPr>
        <w:color w:val="3370FF"/>
        <w:sz w:val="11"/>
      </w:rPr>
    </w:lvl>
  </w:abstractNum>
  <w:abstractNum w:abstractNumId="50">
    <w:nsid w:val="4F84D42E"/>
    <w:multiLevelType w:val="singleLevel"/>
    <w:tmpl w:val="4F84D42E"/>
    <w:lvl w:ilvl="0" w:tentative="0">
      <w:start w:val="0"/>
      <w:numFmt w:val="bullet"/>
      <w:lvlText w:val="￮"/>
      <w:lvlJc w:val="left"/>
      <w:rPr>
        <w:color w:val="3370FF"/>
      </w:rPr>
    </w:lvl>
  </w:abstractNum>
  <w:abstractNum w:abstractNumId="51">
    <w:nsid w:val="4FC06537"/>
    <w:multiLevelType w:val="singleLevel"/>
    <w:tmpl w:val="4FC06537"/>
    <w:lvl w:ilvl="0" w:tentative="0">
      <w:start w:val="0"/>
      <w:numFmt w:val="bullet"/>
      <w:lvlText w:val="￮"/>
      <w:lvlJc w:val="left"/>
      <w:rPr>
        <w:color w:val="3370FF"/>
      </w:rPr>
    </w:lvl>
  </w:abstractNum>
  <w:abstractNum w:abstractNumId="52">
    <w:nsid w:val="5119A603"/>
    <w:multiLevelType w:val="singleLevel"/>
    <w:tmpl w:val="5119A603"/>
    <w:lvl w:ilvl="0" w:tentative="0">
      <w:start w:val="0"/>
      <w:numFmt w:val="bullet"/>
      <w:lvlText w:val="￮"/>
      <w:lvlJc w:val="left"/>
      <w:rPr>
        <w:color w:val="3370FF"/>
      </w:rPr>
    </w:lvl>
  </w:abstractNum>
  <w:abstractNum w:abstractNumId="53">
    <w:nsid w:val="57D7D3A6"/>
    <w:multiLevelType w:val="singleLevel"/>
    <w:tmpl w:val="57D7D3A6"/>
    <w:lvl w:ilvl="0" w:tentative="0">
      <w:start w:val="0"/>
      <w:numFmt w:val="bullet"/>
      <w:lvlText w:val="▪"/>
      <w:lvlJc w:val="left"/>
      <w:rPr>
        <w:color w:val="3370FF"/>
        <w:sz w:val="11"/>
      </w:rPr>
    </w:lvl>
  </w:abstractNum>
  <w:abstractNum w:abstractNumId="54">
    <w:nsid w:val="5E54D66B"/>
    <w:multiLevelType w:val="singleLevel"/>
    <w:tmpl w:val="5E54D66B"/>
    <w:lvl w:ilvl="0" w:tentative="0">
      <w:start w:val="0"/>
      <w:numFmt w:val="bullet"/>
      <w:lvlText w:val="•"/>
      <w:lvlJc w:val="left"/>
      <w:rPr>
        <w:color w:val="3370FF"/>
      </w:rPr>
    </w:lvl>
  </w:abstractNum>
  <w:abstractNum w:abstractNumId="55">
    <w:nsid w:val="5E93CED7"/>
    <w:multiLevelType w:val="singleLevel"/>
    <w:tmpl w:val="5E93CED7"/>
    <w:lvl w:ilvl="0" w:tentative="0">
      <w:start w:val="0"/>
      <w:numFmt w:val="bullet"/>
      <w:lvlText w:val="▪"/>
      <w:lvlJc w:val="left"/>
      <w:rPr>
        <w:color w:val="3370FF"/>
        <w:sz w:val="11"/>
      </w:rPr>
    </w:lvl>
  </w:abstractNum>
  <w:abstractNum w:abstractNumId="56">
    <w:nsid w:val="61AEA9B7"/>
    <w:multiLevelType w:val="singleLevel"/>
    <w:tmpl w:val="61AEA9B7"/>
    <w:lvl w:ilvl="0" w:tentative="0">
      <w:start w:val="0"/>
      <w:numFmt w:val="bullet"/>
      <w:lvlText w:val="•"/>
      <w:lvlJc w:val="left"/>
      <w:rPr>
        <w:color w:val="3370FF"/>
      </w:rPr>
    </w:lvl>
  </w:abstractNum>
  <w:abstractNum w:abstractNumId="57">
    <w:nsid w:val="64B5E6EF"/>
    <w:multiLevelType w:val="singleLevel"/>
    <w:tmpl w:val="64B5E6EF"/>
    <w:lvl w:ilvl="0" w:tentative="0">
      <w:start w:val="0"/>
      <w:numFmt w:val="bullet"/>
      <w:lvlText w:val="￮"/>
      <w:lvlJc w:val="left"/>
      <w:rPr>
        <w:color w:val="3370FF"/>
      </w:rPr>
    </w:lvl>
  </w:abstractNum>
  <w:abstractNum w:abstractNumId="58">
    <w:nsid w:val="6B293770"/>
    <w:multiLevelType w:val="singleLevel"/>
    <w:tmpl w:val="6B293770"/>
    <w:lvl w:ilvl="0" w:tentative="0">
      <w:start w:val="0"/>
      <w:numFmt w:val="bullet"/>
      <w:lvlText w:val="•"/>
      <w:lvlJc w:val="left"/>
      <w:rPr>
        <w:color w:val="3370FF"/>
      </w:rPr>
    </w:lvl>
  </w:abstractNum>
  <w:abstractNum w:abstractNumId="59">
    <w:nsid w:val="6C05E8B2"/>
    <w:multiLevelType w:val="singleLevel"/>
    <w:tmpl w:val="6C05E8B2"/>
    <w:lvl w:ilvl="0" w:tentative="0">
      <w:start w:val="0"/>
      <w:numFmt w:val="bullet"/>
      <w:lvlText w:val="•"/>
      <w:lvlJc w:val="left"/>
      <w:rPr>
        <w:color w:val="3370FF"/>
      </w:rPr>
    </w:lvl>
  </w:abstractNum>
  <w:abstractNum w:abstractNumId="60">
    <w:nsid w:val="724BD372"/>
    <w:multiLevelType w:val="singleLevel"/>
    <w:tmpl w:val="724BD372"/>
    <w:lvl w:ilvl="0" w:tentative="0">
      <w:start w:val="0"/>
      <w:numFmt w:val="bullet"/>
      <w:lvlText w:val="•"/>
      <w:lvlJc w:val="left"/>
      <w:rPr>
        <w:color w:val="3370FF"/>
      </w:rPr>
    </w:lvl>
  </w:abstractNum>
  <w:abstractNum w:abstractNumId="61">
    <w:nsid w:val="7815FD7C"/>
    <w:multiLevelType w:val="singleLevel"/>
    <w:tmpl w:val="7815FD7C"/>
    <w:lvl w:ilvl="0" w:tentative="0">
      <w:start w:val="0"/>
      <w:numFmt w:val="bullet"/>
      <w:lvlText w:val="•"/>
      <w:lvlJc w:val="left"/>
      <w:rPr>
        <w:color w:val="3370FF"/>
      </w:rPr>
    </w:lvl>
  </w:abstractNum>
  <w:abstractNum w:abstractNumId="62">
    <w:nsid w:val="7B5EF1B4"/>
    <w:multiLevelType w:val="singleLevel"/>
    <w:tmpl w:val="7B5EF1B4"/>
    <w:lvl w:ilvl="0" w:tentative="0">
      <w:start w:val="1"/>
      <w:numFmt w:val="lowerLetter"/>
      <w:lvlText w:val="%1."/>
      <w:lvlJc w:val="left"/>
      <w:rPr>
        <w:color w:val="3370FF"/>
      </w:rPr>
    </w:lvl>
  </w:abstractNum>
  <w:num w:numId="1">
    <w:abstractNumId w:val="6"/>
  </w:num>
  <w:num w:numId="2">
    <w:abstractNumId w:val="59"/>
  </w:num>
  <w:num w:numId="3">
    <w:abstractNumId w:val="39"/>
  </w:num>
  <w:num w:numId="4">
    <w:abstractNumId w:val="7"/>
  </w:num>
  <w:num w:numId="5">
    <w:abstractNumId w:val="34"/>
  </w:num>
  <w:num w:numId="6">
    <w:abstractNumId w:val="52"/>
  </w:num>
  <w:num w:numId="7">
    <w:abstractNumId w:val="51"/>
  </w:num>
  <w:num w:numId="8">
    <w:abstractNumId w:val="61"/>
  </w:num>
  <w:num w:numId="9">
    <w:abstractNumId w:val="54"/>
  </w:num>
  <w:num w:numId="10">
    <w:abstractNumId w:val="4"/>
  </w:num>
  <w:num w:numId="11">
    <w:abstractNumId w:val="57"/>
  </w:num>
  <w:num w:numId="12">
    <w:abstractNumId w:val="58"/>
  </w:num>
  <w:num w:numId="13">
    <w:abstractNumId w:val="30"/>
  </w:num>
  <w:num w:numId="14">
    <w:abstractNumId w:val="31"/>
  </w:num>
  <w:num w:numId="15">
    <w:abstractNumId w:val="8"/>
  </w:num>
  <w:num w:numId="16">
    <w:abstractNumId w:val="5"/>
  </w:num>
  <w:num w:numId="17">
    <w:abstractNumId w:val="18"/>
  </w:num>
  <w:num w:numId="18">
    <w:abstractNumId w:val="41"/>
  </w:num>
  <w:num w:numId="19">
    <w:abstractNumId w:val="46"/>
  </w:num>
  <w:num w:numId="20">
    <w:abstractNumId w:val="16"/>
  </w:num>
  <w:num w:numId="21">
    <w:abstractNumId w:val="55"/>
  </w:num>
  <w:num w:numId="22">
    <w:abstractNumId w:val="42"/>
  </w:num>
  <w:num w:numId="23">
    <w:abstractNumId w:val="50"/>
  </w:num>
  <w:num w:numId="24">
    <w:abstractNumId w:val="20"/>
  </w:num>
  <w:num w:numId="25">
    <w:abstractNumId w:val="13"/>
  </w:num>
  <w:num w:numId="26">
    <w:abstractNumId w:val="29"/>
  </w:num>
  <w:num w:numId="27">
    <w:abstractNumId w:val="10"/>
  </w:num>
  <w:num w:numId="28">
    <w:abstractNumId w:val="33"/>
  </w:num>
  <w:num w:numId="29">
    <w:abstractNumId w:val="53"/>
  </w:num>
  <w:num w:numId="30">
    <w:abstractNumId w:val="49"/>
  </w:num>
  <w:num w:numId="31">
    <w:abstractNumId w:val="36"/>
  </w:num>
  <w:num w:numId="32">
    <w:abstractNumId w:val="35"/>
  </w:num>
  <w:num w:numId="33">
    <w:abstractNumId w:val="0"/>
  </w:num>
  <w:num w:numId="34">
    <w:abstractNumId w:val="60"/>
  </w:num>
  <w:num w:numId="35">
    <w:abstractNumId w:val="62"/>
  </w:num>
  <w:num w:numId="36">
    <w:abstractNumId w:val="43"/>
  </w:num>
  <w:num w:numId="37">
    <w:abstractNumId w:val="48"/>
  </w:num>
  <w:num w:numId="38">
    <w:abstractNumId w:val="9"/>
  </w:num>
  <w:num w:numId="39">
    <w:abstractNumId w:val="45"/>
  </w:num>
  <w:num w:numId="40">
    <w:abstractNumId w:val="22"/>
  </w:num>
  <w:num w:numId="41">
    <w:abstractNumId w:val="44"/>
  </w:num>
  <w:num w:numId="42">
    <w:abstractNumId w:val="32"/>
  </w:num>
  <w:num w:numId="43">
    <w:abstractNumId w:val="47"/>
  </w:num>
  <w:num w:numId="44">
    <w:abstractNumId w:val="1"/>
  </w:num>
  <w:num w:numId="45">
    <w:abstractNumId w:val="27"/>
  </w:num>
  <w:num w:numId="46">
    <w:abstractNumId w:val="26"/>
  </w:num>
  <w:num w:numId="47">
    <w:abstractNumId w:val="37"/>
  </w:num>
  <w:num w:numId="48">
    <w:abstractNumId w:val="12"/>
  </w:num>
  <w:num w:numId="49">
    <w:abstractNumId w:val="19"/>
  </w:num>
  <w:num w:numId="50">
    <w:abstractNumId w:val="23"/>
  </w:num>
  <w:num w:numId="51">
    <w:abstractNumId w:val="3"/>
  </w:num>
  <w:num w:numId="52">
    <w:abstractNumId w:val="40"/>
  </w:num>
  <w:num w:numId="53">
    <w:abstractNumId w:val="38"/>
  </w:num>
  <w:num w:numId="54">
    <w:abstractNumId w:val="14"/>
  </w:num>
  <w:num w:numId="55">
    <w:abstractNumId w:val="17"/>
  </w:num>
  <w:num w:numId="56">
    <w:abstractNumId w:val="21"/>
  </w:num>
  <w:num w:numId="57">
    <w:abstractNumId w:val="28"/>
  </w:num>
  <w:num w:numId="58">
    <w:abstractNumId w:val="25"/>
  </w:num>
  <w:num w:numId="59">
    <w:abstractNumId w:val="56"/>
  </w:num>
  <w:num w:numId="60">
    <w:abstractNumId w:val="24"/>
  </w:num>
  <w:num w:numId="61">
    <w:abstractNumId w:val="11"/>
  </w:num>
  <w:num w:numId="62">
    <w:abstractNumId w:val="2"/>
  </w:num>
  <w:num w:numId="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F2A01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3079</Words>
  <Characters>3956</Characters>
  <TotalTime>2</TotalTime>
  <ScaleCrop>false</ScaleCrop>
  <LinksUpToDate>false</LinksUpToDate>
  <CharactersWithSpaces>4115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2026-05-13T07:15:00Z</dcterms:created>
  <dc:creator>Apache POI</dc:creator>
  <cp:lastModifiedBy>Coeur</cp:lastModifiedBy>
  <dcterms:modified xsi:type="dcterms:W3CDTF">2026-05-13T07:17:57Z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eyJoZGlkIjoiYTE0ZTIzNjU4NWJiYzFjNjU1YzQ3YmVhMTllZjcwYmYiLCJ1c2VySWQiOiI1Njk2MDg4MzkifQ==</vt:lpwstr>
  </property>
  <property fmtid="{D5CDD505-2E9C-101B-9397-08002B2CF9AE}" pid="3" name="KSOProductBuildVer">
    <vt:lpwstr>2052-12.1.0.25225</vt:lpwstr>
  </property>
  <property fmtid="{D5CDD505-2E9C-101B-9397-08002B2CF9AE}" pid="4" name="ICV">
    <vt:lpwstr>BCA6DC679B594C51AEF0C4B21BD37553_12</vt:lpwstr>
  </property>
</Properties>
</file>