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FA78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早期主代码功能梳理（6000+行）</w:t>
      </w:r>
    </w:p>
    <w:p w14:paraId="160D8FD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step1-7:早期三核</w:t>
      </w:r>
      <w:bookmarkEnd w:id="0"/>
    </w:p>
    <w:p w14:paraId="054465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股债商3核（行业轮动、高景气细分行业可转债、南华期货）</w:t>
      </w:r>
    </w:p>
    <w:p w14:paraId="01CEFA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已成功导出至：季度大类资产比例及持仓明细表.xlsx</w:t>
      </w:r>
    </w:p>
    <w:p w14:paraId="2983F8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季度大类资产比例及持仓明细表.xlsx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1"/>
        <w:gridCol w:w="4138"/>
      </w:tblGrid>
      <w:tr w14:paraId="228DB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926B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228725"/>
                  <wp:effectExtent l="0" t="0" r="0" b="0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5075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66975" cy="1228725"/>
                  <wp:effectExtent l="0" t="0" r="0" b="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F2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核心绩效指标总览 (2021年初 至今) ==========</w:t>
      </w:r>
    </w:p>
    <w:p w14:paraId="67EB5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组合名称  年化收益率    最大回撤  夏普比率</w:t>
      </w:r>
    </w:p>
    <w:p w14:paraId="7859B5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华泰柏瑞沪深300ETF -1.21% -45.10% -0.18</w:t>
      </w:r>
    </w:p>
    <w:p w14:paraId="4888A9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原版普林格模型  8.48% -11.54%  0.59</w:t>
      </w:r>
    </w:p>
    <w:p w14:paraId="2B2F5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改良版普林格模型 12.16% -13.04%  0.82</w:t>
      </w:r>
    </w:p>
    <w:p w14:paraId="2C2A4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可转债替代后的普林格 14.08% -15.27%  0.82</w:t>
      </w:r>
    </w:p>
    <w:p w14:paraId="2781B18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985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0A1F">
      <w:pPr>
        <w:spacing w:before="120" w:after="120" w:line="288" w:lineRule="auto"/>
        <w:ind w:left="0"/>
        <w:jc w:val="left"/>
      </w:pPr>
    </w:p>
    <w:p w14:paraId="009E09ED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step8-14：拼接21年前的数据来全局回测</w:t>
      </w:r>
      <w:bookmarkEnd w:id="1"/>
    </w:p>
    <w:p w14:paraId="2E37E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拼接2021前的数据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19"/>
        <w:gridCol w:w="4460"/>
      </w:tblGrid>
      <w:tr w14:paraId="2A056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6D89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66950" cy="1123950"/>
                  <wp:effectExtent l="0" t="0" r="0" b="0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0D08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676525" cy="1133475"/>
                  <wp:effectExtent l="0" t="0" r="0" b="0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BFE1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16-20年度大类资产比例及持仓明细表.xlsx</w:t>
      </w:r>
    </w:p>
    <w:p w14:paraId="10BC18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比较行业景气细分转债和全区间可转债指数的效果（step12）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68"/>
        <w:gridCol w:w="3311"/>
      </w:tblGrid>
      <w:tr w14:paraId="08FCF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3321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000375" cy="1485900"/>
                  <wp:effectExtent l="0" t="0" r="0" b="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355F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943100" cy="1457325"/>
                  <wp:effectExtent l="0" t="0" r="0" b="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CA43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924300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B854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Step15-16：转债、商品从不可投到可投</w:t>
      </w:r>
      <w:bookmarkEnd w:id="2"/>
    </w:p>
    <w:p w14:paraId="486FA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step15：将南华期货替换为4个商品etf等权（从不可投到可投）</w:t>
      </w:r>
    </w:p>
    <w:p w14:paraId="147DFB3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9850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20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step16：比较沪深300和行业轮动</w:t>
      </w:r>
    </w:p>
    <w:p w14:paraId="39DB2F3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9850"/>
            <wp:effectExtent l="0" t="0" r="0" b="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65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【Step 16】变量控制回测：对比2021年4月起 组合1(300+转债+ETF商) vs 组合2(TOP4+转债+ETF商)...</w:t>
      </w:r>
    </w:p>
    <w:p w14:paraId="43CB57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Step 16: 股票端超额收益分离对比 (2021年4月起，剥离静默期) ==========</w:t>
      </w:r>
    </w:p>
    <w:p w14:paraId="6253C5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组合名称  年化收益率    最大回撤</w:t>
      </w:r>
    </w:p>
    <w:p w14:paraId="4382EA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组合1 (基准股 + 宽基债 + 实操商) 10.14% -16.29%</w:t>
      </w:r>
    </w:p>
    <w:p w14:paraId="57FDC3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组合2 (TOP4股 + 宽基债 + 实操商) 14.01% -14.17%</w:t>
      </w:r>
    </w:p>
    <w:p w14:paraId="6BFEE8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</w:t>
      </w:r>
    </w:p>
    <w:p w14:paraId="17BE018F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Step17-19：三核模型初具雏形</w:t>
      </w:r>
      <w:bookmarkEnd w:id="3"/>
    </w:p>
    <w:p w14:paraId="5645B0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股债商：行业景气度top4+中证转债+4个商品ETF等权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EE35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19A5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228725"/>
                  <wp:effectExtent l="0" t="0" r="0" b="0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5CA3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228725"/>
                  <wp:effectExtent l="0" t="0" r="0" b="0"/>
                  <wp:docPr id="12" name="Draw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3D6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[终极拼接版_全区间持仓变动明细表.xlsx]</w:t>
      </w:r>
    </w:p>
    <w:p w14:paraId="28D02C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归因拆解：</w:t>
      </w:r>
    </w:p>
    <w:p w14:paraId="36C2DD3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933825"/>
            <wp:effectExtent l="0" t="0" r="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43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终极实操拼接版 (2016-2026) 业绩归因拆解 ==========</w:t>
      </w:r>
    </w:p>
    <w:p w14:paraId="174B8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组合总累计收益率 : 263.02%</w:t>
      </w:r>
    </w:p>
    <w:p w14:paraId="4041EB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📈 【股】端绝对贡献 :  80.62%  |  占总利润比重:  30.65%</w:t>
      </w:r>
    </w:p>
    <w:p w14:paraId="70FEF6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🛡️ 【债】端绝对贡献 :  70.92%  |  占总利润比重:  26.97%</w:t>
      </w:r>
    </w:p>
    <w:p w14:paraId="17A390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🛢️ 【商】端绝对贡献 : 111.47%  |  占总利润比重:  42.38%</w:t>
      </w:r>
    </w:p>
    <w:p w14:paraId="0D025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</w:t>
      </w:r>
    </w:p>
    <w:p w14:paraId="0E2483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step19：去除前五年的拼接，聚焦后五年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2"/>
        <w:gridCol w:w="4967"/>
      </w:tblGrid>
      <w:tr w14:paraId="18A0A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53D0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943100" cy="1457325"/>
                  <wp:effectExtent l="0" t="0" r="0" b="0"/>
                  <wp:docPr id="14" name="Draw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11D5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000375" cy="1485900"/>
                  <wp:effectExtent l="0" t="0" r="0" b="0"/>
                  <wp:docPr id="15" name="Draw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9C8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后五年纯实操期 (2021年4月-至今) 业绩归因拆解 ==========</w:t>
      </w:r>
    </w:p>
    <w:p w14:paraId="470FCB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组合纯实操期总累计收益率 : 90.17% (起点净值重置为1.0)</w:t>
      </w:r>
    </w:p>
    <w:p w14:paraId="52A63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📈 【股】绝对贡献 (TOP4景气度) :  29.72%  |  占该期利润比重:  32.96%</w:t>
      </w:r>
    </w:p>
    <w:p w14:paraId="2D782C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🛡️ 【债】绝对贡献 (中证转债)   :  28.75%  |  占该期利润比重:  31.89%</w:t>
      </w:r>
    </w:p>
    <w:p w14:paraId="3979CA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🛢️ 【商】绝对贡献 (四只ETF篮子) :  31.70%  |  占该期利润比重:  35.15%</w:t>
      </w:r>
    </w:p>
    <w:p w14:paraId="57D7D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</w:t>
      </w:r>
    </w:p>
    <w:p w14:paraId="054ACC30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Step20-23：开始思考如何控制最大回撤</w:t>
      </w:r>
      <w:bookmarkEnd w:id="4"/>
    </w:p>
    <w:p w14:paraId="7F7B1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step20：风险平价+固定止损</w:t>
      </w:r>
    </w:p>
    <w:p w14:paraId="291BE8E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933825"/>
            <wp:effectExtent l="0" t="0" r="0" b="0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5B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开始执行 Step 20: 宏观与微观风控的终极融合 (双核独立版) ==========</w:t>
      </w:r>
    </w:p>
    <w:p w14:paraId="760840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正在执行终极日频回测：周频20日朴素平价 -&gt; 日频8%熔断 -&gt; 释放资金等分转移给【转债+商品】...</w:t>
      </w:r>
    </w:p>
    <w:p w14:paraId="1C0E5596">
      <w:pPr>
        <w:spacing w:before="120" w:after="120" w:line="288" w:lineRule="auto"/>
        <w:ind w:left="0"/>
        <w:jc w:val="left"/>
      </w:pPr>
    </w:p>
    <w:p w14:paraId="6A46CA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 终极跨界避险模型 核心绩效对比 ==================</w:t>
      </w:r>
    </w:p>
    <w:p w14:paraId="6137EF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策略版本 (2021Q2起纯实盘期)  最终净值  年化收益率    最大回撤 夏普比率</w:t>
      </w:r>
    </w:p>
    <w:p w14:paraId="764845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原实操期组合 (等权TOP4+债商无风控) 1.891 13.28% -14.17% 0.73</w:t>
      </w:r>
    </w:p>
    <w:p w14:paraId="602E16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终极进化组合 (周20日平价+8%止损+资金跨界防守) 1.554  9.01% -13.49% 0.51</w:t>
      </w:r>
    </w:p>
    <w:p w14:paraId="79EAC3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</w:t>
      </w:r>
    </w:p>
    <w:p w14:paraId="7E841A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固定止损失去了回撤修复</w:t>
      </w:r>
    </w:p>
    <w:p w14:paraId="498AE2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step21-step23：发现风险平价的作用微乎其微，MA20是控制最大回撤的真神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39"/>
        <w:gridCol w:w="3340"/>
      </w:tblGrid>
      <w:tr w14:paraId="74C14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B24CF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981325" cy="1381125"/>
                  <wp:effectExtent l="0" t="0" r="0" b="0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6A3E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962150" cy="1352550"/>
                  <wp:effectExtent l="0" t="0" r="0" b="0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504C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开始执行 Step 23: 内部配权控制变量对比 (等权 vs 风险平价) ==========</w:t>
      </w:r>
    </w:p>
    <w:p w14:paraId="4A72A1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正在执行回测：修复波动率计算Bug，真实展示平价配权的削峰填谷效果...</w:t>
      </w:r>
    </w:p>
    <w:p w14:paraId="5F8BC5A9">
      <w:pPr>
        <w:spacing w:before="120" w:after="120" w:line="288" w:lineRule="auto"/>
        <w:ind w:left="0"/>
        <w:jc w:val="left"/>
      </w:pPr>
    </w:p>
    <w:p w14:paraId="2E8F28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 权重分配模式 控制变量绩效对比 ==================</w:t>
      </w:r>
    </w:p>
    <w:p w14:paraId="7C490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策略架构 (修复波动率切片Bug)  最终净值  年化收益率    最大回撤 夏普比率</w:t>
      </w:r>
    </w:p>
    <w:p w14:paraId="3CD1D3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① 原实操组合 (无风控硬扛) 1.891 13.28% -14.17% 0.73</w:t>
      </w:r>
    </w:p>
    <w:p w14:paraId="4121EB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MA20双向风控 + 【等权分配】 1.920 13.62% -12.29% 0.89</w:t>
      </w:r>
    </w:p>
    <w:p w14:paraId="05599E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MA20双向风控 + 【风险平价】 1.915 13.56% -12.35% 0.90</w:t>
      </w:r>
    </w:p>
    <w:p w14:paraId="0BE034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</w:t>
      </w:r>
    </w:p>
    <w:p w14:paraId="1F7BE0CB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Step24-25：三核轮动（避险版）效果评测</w:t>
      </w:r>
      <w:bookmarkEnd w:id="5"/>
    </w:p>
    <w:p w14:paraId="18AEA72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38475"/>
            <wp:effectExtent l="0" t="0" r="0" b="0"/>
            <wp:docPr id="19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74"/>
        <w:gridCol w:w="4605"/>
      </w:tblGrid>
      <w:tr w14:paraId="28E06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70A3F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171700" cy="1076325"/>
                  <wp:effectExtent l="0" t="0" r="0" b="0"/>
                  <wp:docPr id="20" name="Drawing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Drawing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D0E1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771775" cy="1095375"/>
                  <wp:effectExtent l="0" t="0" r="0" b="0"/>
                  <wp:docPr id="21" name="Drawing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rawing 2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B926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28850"/>
            <wp:effectExtent l="0" t="0" r="0" b="0"/>
            <wp:docPr id="22" name="Draw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1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 核心业绩情况对比 (自2021年4月起) =======================</w:t>
      </w:r>
    </w:p>
    <w:p w14:paraId="03FB2E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产品名称  最终净值  年化收益率    最大回撤  夏普比率</w:t>
      </w:r>
    </w:p>
    <w:p w14:paraId="70DD4C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终极双核组合 (季选股+MA20均分+跨界防守) 1.920 13.62% -12.29%  0.89</w:t>
      </w:r>
    </w:p>
    <w:p w14:paraId="2E48E5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市场基准：沪深300指数 0.983 -0.33% -40.38% -0.19</w:t>
      </w:r>
    </w:p>
    <w:p w14:paraId="6F6D3A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================================================================================</w:t>
      </w:r>
    </w:p>
    <w:p w14:paraId="50D647F7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Step26-30：频率太高如何下调</w:t>
      </w:r>
      <w:bookmarkEnd w:id="6"/>
    </w:p>
    <w:p w14:paraId="4A07DC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step26：降频效果</w:t>
      </w:r>
    </w:p>
    <w:p w14:paraId="0734C85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81300"/>
            <wp:effectExtent l="0" t="0" r="0" b="0"/>
            <wp:docPr id="23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EA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 交易降频实验 (日频 vs 周频 vs 月频) 等权版绩效对比 ==================</w:t>
      </w:r>
    </w:p>
    <w:p w14:paraId="3C2789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操作频率实验 (纯等权)  最终净值  年化收益率    最大回撤 夏普比率</w:t>
      </w:r>
    </w:p>
    <w:p w14:paraId="5B9FD3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① 原实操组合 (无风控硬扛) 1.891 13.28% -14.17% 0.73</w:t>
      </w:r>
    </w:p>
    <w:p w14:paraId="2FB783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日频极致风控 (每日监控MA20) 1.920 13.62% -12.29% 0.89</w:t>
      </w:r>
    </w:p>
    <w:p w14:paraId="73BFFB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③ 周频适中风控 (每周只交易1次) 1.722 11.22% -12.93% 0.70</w:t>
      </w:r>
    </w:p>
    <w:p w14:paraId="4FCC58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纯月频统筹风控 (每月只交易1次) 1.627 10.00% -16.58% 0.61</w:t>
      </w:r>
    </w:p>
    <w:p w14:paraId="1FD79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=========================================================================================</w:t>
      </w:r>
    </w:p>
    <w:p w14:paraId="0DF64D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step27-30：海龟交易法止损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7"/>
        <w:gridCol w:w="3442"/>
      </w:tblGrid>
      <w:tr w14:paraId="1B14D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F547F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914650" cy="1543050"/>
                  <wp:effectExtent l="0" t="0" r="0" b="0"/>
                  <wp:docPr id="24" name="Drawing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rawing 2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34B1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028825" cy="1514475"/>
                  <wp:effectExtent l="0" t="0" r="0" b="0"/>
                  <wp:docPr id="25" name="Drawing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Drawing 2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E6454"/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7"/>
        <w:gridCol w:w="3442"/>
      </w:tblGrid>
      <w:tr w14:paraId="28636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07DE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914650" cy="1543050"/>
                  <wp:effectExtent l="0" t="0" r="0" b="0"/>
                  <wp:docPr id="26" name="Drawing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Drawing 2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996E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028825" cy="1514475"/>
                  <wp:effectExtent l="0" t="0" r="0" b="0"/>
                  <wp:docPr id="27" name="Drawing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Drawing 2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66E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还是打不过日频，效果不好</w:t>
      </w:r>
    </w:p>
    <w:p w14:paraId="5131F444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Step31-35：对股票端整体使用MA20（兼顾回撤控制逻辑与降频需求）</w:t>
      </w:r>
      <w:bookmarkEnd w:id="7"/>
    </w:p>
    <w:p w14:paraId="27F5D3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之前股票端要对每个行业都进行MA20监控，但真正发生最大回撤时，往往是所有行业齐跌，测试将所有行业合成为一条线，对这一条线进行MA20监控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90"/>
        <w:gridCol w:w="3389"/>
      </w:tblGrid>
      <w:tr w14:paraId="7256A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E23B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952750" cy="1647825"/>
                  <wp:effectExtent l="0" t="0" r="0" b="0"/>
                  <wp:docPr id="28" name="Drawing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Drawing 2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4C12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990725" cy="1619250"/>
                  <wp:effectExtent l="0" t="0" r="0" b="0"/>
                  <wp:docPr id="29" name="Drawing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Drawing 2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48FD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开始执行 Step 31: TOP4组合整体净值 MA20择时与信号打点 ==========</w:t>
      </w:r>
    </w:p>
    <w:p w14:paraId="46085F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正在执行回测：对比【细分各自为战】与【整体一键逃逸】，并追踪买卖信号...</w:t>
      </w:r>
    </w:p>
    <w:p w14:paraId="028EE4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信号捕获完毕！TOP4组合整体 MA20 共触发了 56 次交易信号 (远低于各行业独立计算)。</w:t>
      </w:r>
    </w:p>
    <w:p w14:paraId="14907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 组合级风控 (拧成一股绳) 绩效对比 ==================</w:t>
      </w:r>
    </w:p>
    <w:p w14:paraId="40E8B7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风控颗粒度实验 (等权基础)  最终净值  年化收益率    最大回撤 夏普比率</w:t>
      </w:r>
    </w:p>
    <w:p w14:paraId="5ACBDE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① 原组合 (无风控硬扛) 1.891 13.28% -14.17% 0.73</w:t>
      </w:r>
    </w:p>
    <w:p w14:paraId="76CFA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细分独立 MA20 (各自为战, 交易极累) 1.920 13.62% -12.29% 0.89</w:t>
      </w:r>
    </w:p>
    <w:p w14:paraId="4716A4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组合整体 MA20 (拧成一线, 一键逃逸) 1.915 13.56% -12.38% 0.87</w:t>
      </w:r>
    </w:p>
    <w:p w14:paraId="013625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 31 组合级择时测试与信号可视化执行完毕！</w:t>
      </w:r>
    </w:p>
    <w:p w14:paraId="66ABCD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组合整体MA20_持仓区间合并表.xlsx</w:t>
      </w:r>
    </w:p>
    <w:p w14:paraId="72A2A2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Step34：收益率拆解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78"/>
        <w:gridCol w:w="5001"/>
      </w:tblGrid>
      <w:tr w14:paraId="0379B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D378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924050" cy="1562100"/>
                  <wp:effectExtent l="0" t="0" r="0" b="0"/>
                  <wp:docPr id="30" name="Drawing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Drawing 2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4978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019425" cy="1600200"/>
                  <wp:effectExtent l="0" t="0" r="0" b="0"/>
                  <wp:docPr id="31" name="Drawing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Drawing 30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998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开始执行 Step 34: 大类资产收益贡献时间序列及年度拆解 ==========</w:t>
      </w:r>
    </w:p>
    <w:p w14:paraId="0E06A7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正在提取最新版【组合整体MA20】每日仓位，测算绝对收益贡献...</w:t>
      </w:r>
    </w:p>
    <w:p w14:paraId="5FC29D56">
      <w:pPr>
        <w:spacing w:before="120" w:after="120" w:line="288" w:lineRule="auto"/>
        <w:ind w:left="0"/>
        <w:jc w:val="left"/>
      </w:pPr>
    </w:p>
    <w:p w14:paraId="61678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 终极组合：大类资产累计独立贡献 ==================</w:t>
      </w:r>
    </w:p>
    <w:p w14:paraId="36883F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📈 股票端累计独立贡献 :  27.84%</w:t>
      </w:r>
    </w:p>
    <w:p w14:paraId="321866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🛡️ 债券端累计独立贡献 :  30.53%</w:t>
      </w:r>
    </w:p>
    <w:p w14:paraId="4C7462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🛢️ 商品端累计独立贡献 :  33.11%</w:t>
      </w:r>
    </w:p>
    <w:p w14:paraId="72DE04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🏆 组合总累计收益率   :  91.47%</w:t>
      </w:r>
    </w:p>
    <w:p w14:paraId="7123B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====================================================================</w:t>
      </w:r>
    </w:p>
    <w:p w14:paraId="628FB9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正在渲染大类资产收益贡献全景分析图...</w:t>
      </w:r>
    </w:p>
    <w:p w14:paraId="228616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正在渲染单年度收益率拆解对比柱状图...</w:t>
      </w:r>
    </w:p>
    <w:p w14:paraId="3CF9BE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 34 图例排版优化完毕！</w:t>
      </w:r>
    </w:p>
    <w:p w14:paraId="422D0EB8">
      <w:pPr>
        <w:spacing w:before="120" w:after="120" w:line="288" w:lineRule="auto"/>
        <w:ind w:left="0"/>
        <w:jc w:val="left"/>
      </w:pPr>
    </w:p>
    <w:p w14:paraId="0A983D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step35：全区间模拟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71"/>
        <w:gridCol w:w="4308"/>
      </w:tblGrid>
      <w:tr w14:paraId="76DA9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A7B7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362200" cy="1924050"/>
                  <wp:effectExtent l="0" t="0" r="0" b="0"/>
                  <wp:docPr id="32" name="Drawing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Drawing 3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C928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81275" cy="1924050"/>
                  <wp:effectExtent l="0" t="0" r="0" b="0"/>
                  <wp:docPr id="33" name="Drawing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Drawing 32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5BE8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9850"/>
            <wp:effectExtent l="0" t="0" r="0" b="0"/>
            <wp:docPr id="34" name="Drawing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3F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开始执行 Step 35: 2016-2026 全区间无缝拼接与风控压力测试 ==========</w:t>
      </w:r>
    </w:p>
    <w:p w14:paraId="4CF6D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正在回溯 2016-01-01 至最新交易日 的全天候避险数据...</w:t>
      </w:r>
    </w:p>
    <w:p w14:paraId="4ED6B8C5">
      <w:pPr>
        <w:spacing w:before="120" w:after="120" w:line="288" w:lineRule="auto"/>
        <w:ind w:left="0"/>
        <w:jc w:val="left"/>
      </w:pPr>
    </w:p>
    <w:p w14:paraId="5DA5F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 十年期全景回测：高阶核心绩效指标对决 =========================</w:t>
      </w:r>
    </w:p>
    <w:p w14:paraId="654FE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策略版本    年化收益     最大回撤   年化波动率  夏普比率  卡玛比率</w:t>
      </w:r>
    </w:p>
    <w:p w14:paraId="78269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② 基准：沪深300指数 纯裸多   2.78%  -45.10%  18.99%  0.04  0.06</w:t>
      </w:r>
    </w:p>
    <w:p w14:paraId="7E01A1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③ 理论原版 (仅宏观配比，无均线避险)  13.81%  -15.19%  13.77%  0.86  0.91</w:t>
      </w:r>
    </w:p>
    <w:p w14:paraId="13F407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十年终极无缝版 (普林格底座 + MA20逃逸)  12.76%  -17.75%  12.74%  0.84  0.72</w:t>
      </w:r>
    </w:p>
    <w:p w14:paraId="0FE4F4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========================================================================================</w:t>
      </w:r>
    </w:p>
    <w:p w14:paraId="7B85F4A5">
      <w:pPr>
        <w:spacing w:before="120" w:after="120" w:line="288" w:lineRule="auto"/>
        <w:ind w:left="0"/>
        <w:jc w:val="left"/>
      </w:pPr>
    </w:p>
    <w:p w14:paraId="3682FE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正在渲染 图表1: 十年全景甘特图与资产分布潮汐...</w:t>
      </w:r>
    </w:p>
    <w:p w14:paraId="1FD2E7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正在渲染 图表2: 股债商绝对收益贡献拆解...</w:t>
      </w:r>
    </w:p>
    <w:p w14:paraId="43318F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正在渲染 图表3: 十年净值对决与超额收益全景...</w:t>
      </w:r>
    </w:p>
    <w:p w14:paraId="4104E39E">
      <w:pPr>
        <w:spacing w:before="120" w:after="120" w:line="288" w:lineRule="auto"/>
        <w:ind w:left="0"/>
        <w:jc w:val="left"/>
      </w:pPr>
    </w:p>
    <w:p w14:paraId="6C00F8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🎉 大功告成！全量高阶绩效表已在控制台输出。</w:t>
      </w:r>
    </w:p>
    <w:p w14:paraId="66D86F9A">
      <w:pPr>
        <w:spacing w:before="120" w:after="120" w:line="288" w:lineRule="auto"/>
        <w:ind w:left="0"/>
        <w:jc w:val="left"/>
      </w:pPr>
    </w:p>
    <w:p w14:paraId="763A05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从结果上看，MA20失效了，为什么？</w:t>
      </w:r>
    </w:p>
    <w:p w14:paraId="5AE8C512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Step36-37：探究MA20失效的原因</w:t>
      </w:r>
      <w:bookmarkEnd w:id="8"/>
    </w:p>
    <w:p w14:paraId="37EFB0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step36-step37：是MA20的问题吗？加个缓冲带试试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72"/>
        <w:gridCol w:w="4307"/>
      </w:tblGrid>
      <w:tr w14:paraId="72F5F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9B71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362200" cy="1924050"/>
                  <wp:effectExtent l="0" t="0" r="0" b="0"/>
                  <wp:docPr id="35" name="Drawing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Drawing 34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82A6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81275" cy="1924050"/>
                  <wp:effectExtent l="0" t="0" r="0" b="0"/>
                  <wp:docPr id="36" name="Drawing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Drawing 3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754D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9850"/>
            <wp:effectExtent l="0" t="0" r="0" b="0"/>
            <wp:docPr id="37" name="Drawing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rawing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2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 十年全景回测：(防抖升级版) 核心绩效 =========================</w:t>
      </w:r>
    </w:p>
    <w:p w14:paraId="5D3AFA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策略版本    年化收益     最大回撤   年化波动率  夏普比率  卡玛比率</w:t>
      </w:r>
    </w:p>
    <w:p w14:paraId="333BAC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② 基准：沪深300指数 纯裸多   2.78%  -45.10%  18.99%  0.04  0.06</w:t>
      </w:r>
    </w:p>
    <w:p w14:paraId="0584DD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③ 理论原版 (仅宏观配比，无均线避险)  13.81%  -15.19%  13.77%  0.86  0.91</w:t>
      </w:r>
    </w:p>
    <w:p w14:paraId="3967C8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十年终极无缝版 (带 1.5% 缓冲区的MA20)  12.47%  -16.35%  13.10%  0.80  0.76</w:t>
      </w:r>
    </w:p>
    <w:p w14:paraId="43F324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========================================================================================</w:t>
      </w:r>
    </w:p>
    <w:p w14:paraId="054947D4">
      <w:pPr>
        <w:spacing w:before="120" w:after="120" w:line="288" w:lineRule="auto"/>
        <w:ind w:left="0"/>
        <w:jc w:val="left"/>
      </w:pPr>
    </w:p>
    <w:p w14:paraId="6CB09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作用好像不大，没有思路了，暂时搁置</w:t>
      </w:r>
    </w:p>
    <w:p w14:paraId="447F9F99">
      <w:pPr>
        <w:spacing w:before="120" w:after="120" w:line="288" w:lineRule="auto"/>
        <w:ind w:left="0"/>
        <w:jc w:val="left"/>
      </w:pPr>
    </w:p>
    <w:p w14:paraId="7AD2D221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step38-40：再次尝试降频、对风控进行改良</w:t>
      </w:r>
      <w:bookmarkEnd w:id="9"/>
    </w:p>
    <w:p w14:paraId="6B971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step38：MA20突破后观察3天</w:t>
      </w:r>
    </w:p>
    <w:p w14:paraId="07614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开始执行 Step 38: 引入时间过滤器 (Time Filter) 的延迟确认避险测试 ==========</w:t>
      </w:r>
    </w:p>
    <w:p w14:paraId="2BE3C0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已开启 MA20 时间防抖机制！破位/突破需要连续 3 个交易日确认。</w:t>
      </w:r>
    </w:p>
    <w:p w14:paraId="2CC610D4">
      <w:pPr>
        <w:spacing w:before="120" w:after="120" w:line="288" w:lineRule="auto"/>
        <w:ind w:left="0"/>
        <w:jc w:val="left"/>
      </w:pPr>
    </w:p>
    <w:p w14:paraId="450E5D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 十年全景回测：(时间过滤器防抖) 核心绩效 =========================</w:t>
      </w:r>
    </w:p>
    <w:p w14:paraId="5B7010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策略版本    年化收益     最大回撤   年化波动率  夏普比率  卡玛比率</w:t>
      </w:r>
    </w:p>
    <w:p w14:paraId="4EFECC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② 基准：沪深300指数 纯裸多   2.78%  -45.10%  18.99%  0.04  0.06</w:t>
      </w:r>
    </w:p>
    <w:p w14:paraId="4FF997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③ 理论原版 (仅宏观配比，无均线避险)  13.81%  -15.19%  13.77%  0.86  0.91</w:t>
      </w:r>
    </w:p>
    <w:p w14:paraId="710DB3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十年时间防抖版 (3日收盘确认MA20逃逸)  12.24%  -15.93%  12.83%  0.80  0.77</w:t>
      </w:r>
    </w:p>
    <w:p w14:paraId="3998F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=========================================================================================</w:t>
      </w:r>
    </w:p>
    <w:p w14:paraId="32C5C6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效果一般般</w:t>
      </w:r>
    </w:p>
    <w:p w14:paraId="59237E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step39：仓位70%时才进行MA20防控</w:t>
      </w:r>
    </w:p>
    <w:p w14:paraId="7D634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开始执行 Step 39: 主引擎定向避险 (仅对 70% 仓位资产启动 MA20) ==========</w:t>
      </w:r>
    </w:p>
    <w:p w14:paraId="303FFD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定向风控已启动！仅当宏观权重分配达 70% 时，开启 1.5倍真实波动率 防护垫。</w:t>
      </w:r>
    </w:p>
    <w:p w14:paraId="428BEC3F">
      <w:pPr>
        <w:spacing w:before="120" w:after="120" w:line="288" w:lineRule="auto"/>
        <w:ind w:left="0"/>
        <w:jc w:val="left"/>
      </w:pPr>
    </w:p>
    <w:p w14:paraId="6BE9B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 十年全景回测：(主引擎定向风控系统) 核心绩效 =========================</w:t>
      </w:r>
    </w:p>
    <w:p w14:paraId="3F855F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策略版本    年化收益     最大回撤   年化波动率  夏普比率  卡玛比率</w:t>
      </w:r>
    </w:p>
    <w:p w14:paraId="7E45B3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② 基准：沪深300指数 纯裸多   2.78%  -45.10%  18.99%  0.04  0.06</w:t>
      </w:r>
    </w:p>
    <w:p w14:paraId="0D429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③ 理论原版 (仅宏观配比，无均线避险)  13.81%  -15.19%  13.77%  0.86  0.91</w:t>
      </w:r>
    </w:p>
    <w:p w14:paraId="10087D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十年定向风控版 (仅在配置70%时启动MA避险)  12.78%  -17.64%  13.02%  0.83  0.72</w:t>
      </w:r>
    </w:p>
    <w:p w14:paraId="75258C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===============================================================================================</w:t>
      </w:r>
    </w:p>
    <w:p w14:paraId="2841E9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正在渲染 图表1: 定向风控全景甘特图与交叉资金分布...</w:t>
      </w:r>
    </w:p>
    <w:p w14:paraId="7D948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🎉 Step 39 精简成功！系统现在像一名极其老道的猎人，仅在重金投入时才扣下防守的扳机。</w:t>
      </w:r>
    </w:p>
    <w:p w14:paraId="773069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效果和全时段MA20防控相差不多，思路正确</w:t>
      </w:r>
    </w:p>
    <w:p w14:paraId="32DD1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step40：对商品端要进行风控吗？</w:t>
      </w:r>
    </w:p>
    <w:p w14:paraId="1EBCA1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开始执行 Step 40: 宏观风控方案切片对比与调仓频次测算 ==========</w:t>
      </w:r>
    </w:p>
    <w:p w14:paraId="56DF63D7">
      <w:pPr>
        <w:spacing w:before="120" w:after="120" w:line="288" w:lineRule="auto"/>
        <w:ind w:left="0"/>
        <w:jc w:val="left"/>
      </w:pPr>
    </w:p>
    <w:p w14:paraId="55B8A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 十年全景回测：(风控方案大乱斗) 核心绩效 =========================</w:t>
      </w:r>
    </w:p>
    <w:p w14:paraId="05174F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策略版本    年化收益     最大回撤   年化波动率  夏普比率  卡玛比率</w:t>
      </w:r>
    </w:p>
    <w:p w14:paraId="2FDD78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① 策略A：无均线避险 (仅宏观配仓)  13.81%  -15.19%  13.77%  0.86  0.91</w:t>
      </w:r>
    </w:p>
    <w:p w14:paraId="2C837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② 策略B：仅股票执行均线避险 (单核防守)  12.86%  -17.64%  13.08%  0.83  0.73</w:t>
      </w:r>
    </w:p>
    <w:p w14:paraId="15FB03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策略C：股商双核均执行均线避险 (双核防守)  12.78%  -17.64%  13.02%  0.83  0.72</w:t>
      </w:r>
    </w:p>
    <w:p w14:paraId="144C4A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===========================================================================================</w:t>
      </w:r>
    </w:p>
    <w:p w14:paraId="0C506068">
      <w:pPr>
        <w:spacing w:before="120" w:after="120" w:line="288" w:lineRule="auto"/>
        <w:ind w:left="0"/>
        <w:jc w:val="left"/>
      </w:pPr>
    </w:p>
    <w:p w14:paraId="462FB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 过去10年 MA20 触发的额外调仓动作统计 =======================</w:t>
      </w:r>
    </w:p>
    <w:p w14:paraId="6CF94D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▶ 策略B (仅股票避险) 累计触发逃逸/接回动作: 64 次</w:t>
      </w:r>
    </w:p>
    <w:p w14:paraId="2C657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▶ 策略C (股商双向避险) 累计触发动作: 股票端 64 次 + 商品端 66 次 = 总计 130 次</w:t>
      </w:r>
    </w:p>
    <w:p w14:paraId="2C90DB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*注: 平均每年大约增加 13.0 次额外买卖摩擦。</w:t>
      </w:r>
    </w:p>
    <w:p w14:paraId="581E3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====================================================================================</w:t>
      </w:r>
    </w:p>
    <w:p w14:paraId="4CE225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效果差不多，最大回撤还是没有得到控制</w:t>
      </w:r>
    </w:p>
    <w:p w14:paraId="28F794F8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Step41-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43</w:t>
      </w:r>
      <w:bookmarkStart w:id="14" w:name="_GoBack"/>
      <w:bookmarkEnd w:id="14"/>
      <w:r>
        <w:rPr>
          <w:rFonts w:ascii="Arial" w:hAnsi="Arial" w:eastAsia="等线" w:cs="Arial"/>
          <w:b/>
          <w:sz w:val="36"/>
        </w:rPr>
        <w:t>：四核模型的诞生</w:t>
      </w:r>
      <w:bookmarkEnd w:id="10"/>
    </w:p>
    <w:p w14:paraId="105B2C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！重大发现：回撤难以控制的根本原因是3类资产同时下跌而非MA20失效，引入第四类资产——国开债，因触发MA20进行避险的资金全部逃逸在国开债而非另外两类资产</w:t>
      </w:r>
    </w:p>
    <w:p w14:paraId="6AEEE22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915025"/>
            <wp:effectExtent l="0" t="0" r="0" b="0"/>
            <wp:docPr id="38" name="Drawing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F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开始执行 Step 41: 蓄水池升级 (避险资金 100% 注入国开债) ==========</w:t>
      </w:r>
    </w:p>
    <w:p w14:paraId="4E547E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避险目标锁定：当触发 MA20 逃避时，资金将全额撤离至 [中证全债指数]</w:t>
      </w:r>
    </w:p>
    <w:p w14:paraId="7C53CA5A">
      <w:pPr>
        <w:spacing w:before="120" w:after="120" w:line="288" w:lineRule="auto"/>
        <w:ind w:left="0"/>
        <w:jc w:val="left"/>
      </w:pPr>
    </w:p>
    <w:p w14:paraId="71927B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 十年全景回测：(全量逃逸版) 核心绩效 =========================</w:t>
      </w:r>
    </w:p>
    <w:p w14:paraId="011EAE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策略     年化      回撤   夏普</w:t>
      </w:r>
    </w:p>
    <w:p w14:paraId="0943BA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沪深300指数  3.47% -45.10% 0.08</w:t>
      </w:r>
    </w:p>
    <w:p w14:paraId="3964C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理论原版(无避险) 13.68% -14.78% 0.89</w:t>
      </w:r>
    </w:p>
    <w:p w14:paraId="1DFC0D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终极防御版(全入国开债) 13.57% -10.63% 1.07</w:t>
      </w:r>
    </w:p>
    <w:p w14:paraId="634038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▶ 避险操作统计：股票逃逸/回归 90 次，商品逃逸/回归 86 次</w:t>
      </w:r>
    </w:p>
    <w:p w14:paraId="705506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正在渲染带季度坐标轴的全景甘特图与资金分布...</w:t>
      </w:r>
    </w:p>
    <w:p w14:paraId="25B5FEA3">
      <w:pPr>
        <w:spacing w:before="120" w:after="120" w:line="288" w:lineRule="auto"/>
        <w:ind w:left="0"/>
        <w:jc w:val="left"/>
      </w:pPr>
    </w:p>
    <w:p w14:paraId="506C4A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Step42：收益率归因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0"/>
        <w:gridCol w:w="5539"/>
      </w:tblGrid>
      <w:tr w14:paraId="38F35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9DDA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581150" cy="1400175"/>
                  <wp:effectExtent l="0" t="0" r="0" b="0"/>
                  <wp:docPr id="39" name="Drawing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Drawing 38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F861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3362325" cy="1457325"/>
                  <wp:effectExtent l="0" t="0" r="0" b="0"/>
                  <wp:docPr id="40" name="Drawing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Drawing 3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4BB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四核驱动_避险持仓区间合并表.xlsx</w:t>
      </w:r>
    </w:p>
    <w:p w14:paraId="14E96DF7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Step44-45：一些无关紧要的测试</w:t>
      </w:r>
      <w:bookmarkEnd w:id="11"/>
    </w:p>
    <w:p w14:paraId="64200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step44：早期给MA20加防抖带，是否要上下对称（后期已放弃防抖带，回到最纯正的MA20）</w:t>
      </w:r>
    </w:p>
    <w:p w14:paraId="72331F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step45：黄金能不能代替商品</w:t>
      </w:r>
    </w:p>
    <w:p w14:paraId="185439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 开始执行 Step 45: 商品端底层资产三维对比测试 ==========</w:t>
      </w:r>
    </w:p>
    <w:p w14:paraId="500B33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正在从全景数据源中分离提取：纯黄金标尺 与 纯南华标尺...</w:t>
      </w:r>
    </w:p>
    <w:p w14:paraId="4946F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正在平行推演三大宇宙：原版综合商品 vs 纯黄金避险 vs 纯南华Beta ...</w:t>
      </w:r>
    </w:p>
    <w:p w14:paraId="436EDB48">
      <w:pPr>
        <w:spacing w:before="120" w:after="120" w:line="288" w:lineRule="auto"/>
        <w:ind w:left="0"/>
        <w:jc w:val="left"/>
      </w:pPr>
    </w:p>
    <w:p w14:paraId="590F8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 【商品端消融实验】核心绩效揭晓 =========================</w:t>
      </w:r>
    </w:p>
    <w:p w14:paraId="3203DE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资产配置版本    年化收益     最大回撤   年化波动率  夏普比率  卡玛比率</w:t>
      </w:r>
    </w:p>
    <w:p w14:paraId="30029C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v4.0 原版 (前期南华指数 + 后期4只等权ETF)  13.57%  -10.63%  10.78%  1.07  1.28</w:t>
      </w:r>
    </w:p>
    <w:p w14:paraId="5DE9FE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v4.0 纯黄金版 (全时期仅暴露于 华安黄金ETF)   8.26%  -11.03%   9.65%  0.65  0.75</w:t>
      </w:r>
    </w:p>
    <w:p w14:paraId="4345AB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v4.0 纯南华版 (全时期仅暴露于 南华期货指数)  12.59%  -10.63%  10.95%  0.97  1.18</w:t>
      </w:r>
    </w:p>
    <w:p w14:paraId="7024DA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===================================================================================</w:t>
      </w:r>
    </w:p>
    <w:p w14:paraId="53D712AC">
      <w:pPr>
        <w:spacing w:before="120" w:after="120" w:line="288" w:lineRule="auto"/>
        <w:ind w:left="0"/>
        <w:jc w:val="left"/>
      </w:pPr>
    </w:p>
    <w:p w14:paraId="08265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🎉 Step 45 (三维对比版) 运行完毕！通过这份报表，你可以一眼看透商品端‘工业Beta’与‘避险黄金’在量化系统中的真实作用边界。</w:t>
      </w:r>
    </w:p>
    <w:p w14:paraId="490E28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不能</w:t>
      </w:r>
    </w:p>
    <w:p w14:paraId="3E9945EC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Step46-47：宽基能替代股票端的行业轮动吗？</w:t>
      </w:r>
      <w:bookmarkEnd w:id="12"/>
    </w:p>
    <w:p w14:paraId="5AD53B6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915025"/>
            <wp:effectExtent l="0" t="0" r="0" b="0"/>
            <wp:docPr id="41" name="Drawing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rawing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9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正在平行推演底层资金流转脉络：原版(行业轮动) vs 宽基版(四大宽基)...</w:t>
      </w:r>
    </w:p>
    <w:p w14:paraId="3884A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 【股票端 Alpha 消融实验】核心绩效揭晓 =========================</w:t>
      </w:r>
    </w:p>
    <w:p w14:paraId="2229D9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系统架构版本    年化收益     最大回撤   年化波动率  夏普比率  卡玛比率</w:t>
      </w:r>
    </w:p>
    <w:p w14:paraId="7F1548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v4.0 原版 (带Top4景气度轮动 Alpha)  12.72%  -10.63%  10.90%  0.98  1.20</w:t>
      </w:r>
    </w:p>
    <w:p w14:paraId="1BE007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v4.0 宽基版 (四大宽基被动等权 Beta)  13.11%  -11.06%  11.23%  0.99  1.19</w:t>
      </w:r>
    </w:p>
    <w:p w14:paraId="36CA67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=========================================================================================</w:t>
      </w:r>
    </w:p>
    <w:p w14:paraId="4F4D08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▶ 【宽基版】避险防线实盘审计：股票端逃逸/回归 78 次，商品端逃逸/回归 74 次</w:t>
      </w:r>
    </w:p>
    <w:p w14:paraId="56187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注：自 2016-11-04 起算，平均每年股票端仅被动换手 8.5 次。</w:t>
      </w:r>
    </w:p>
    <w:p w14:paraId="168FFD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看起来可以，但不排除是因为包含后验概率、重仓股票的时期偏少导致</w:t>
      </w:r>
    </w:p>
    <w:p w14:paraId="1DE390AE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Step48-49：国开债压力测试（5-7年换成0-3年）</w:t>
      </w:r>
      <w:bookmarkEnd w:id="13"/>
    </w:p>
    <w:p w14:paraId="06A4D7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过去几年是债券牛市，5-7年可能有利率风险，探究换为0-3年会影响组合多少</w:t>
      </w:r>
    </w:p>
    <w:p w14:paraId="4D4D1B7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9850"/>
            <wp:effectExtent l="0" t="0" r="0" b="0"/>
            <wp:docPr id="42" name="Drawing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30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 【水库久期敏感性测试】四组核心绩效 =========================</w:t>
      </w:r>
    </w:p>
    <w:p w14:paraId="7C20FA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系统架构版本    年化收益     最大回撤   年化波动率  夏普比率  卡玛比率</w:t>
      </w:r>
    </w:p>
    <w:p w14:paraId="24901A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① 原版Alpha + 5-7年长债 (高收益强心跳)  12.72%  -10.63%  10.90%  0.98  1.20</w:t>
      </w:r>
    </w:p>
    <w:p w14:paraId="435BEA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原版Alpha + 0-3年短债 (收益略损稳如狗)  11.95%  -10.75%  10.92%  0.91  1.11</w:t>
      </w:r>
    </w:p>
    <w:p w14:paraId="5D4136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③ 宽基Beta  + 5-7年长债 (纯大盘长债版)  13.11%  -11.06%  11.23%  0.99  1.19</w:t>
      </w:r>
    </w:p>
    <w:p w14:paraId="3B5384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④ 宽基Beta  + 0-3年短债 (纯大盘短债版)  12.31%  -10.87%  11.24%  0.92  1.13</w:t>
      </w:r>
    </w:p>
    <w:p w14:paraId="565E4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======================================================================================</w:t>
      </w:r>
    </w:p>
    <w:p w14:paraId="1D386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短债会略微牺牲一丁点年化收益与预期一致</w:t>
      </w:r>
    </w:p>
    <w:p w14:paraId="29FB451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915025"/>
            <wp:effectExtent l="0" t="0" r="0" b="0"/>
            <wp:docPr id="43" name="Drawing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rawing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08E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52E1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83AD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BC915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275</Words>
  <Characters>423</Characters>
  <TotalTime>4</TotalTime>
  <ScaleCrop>false</ScaleCrop>
  <LinksUpToDate>false</LinksUpToDate>
  <CharactersWithSpaces>471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2026-05-12T07:28:00Z</dcterms:created>
  <dc:creator>Apache POI</dc:creator>
  <cp:lastModifiedBy>Coeur</cp:lastModifiedBy>
  <dcterms:modified xsi:type="dcterms:W3CDTF">2026-05-13T02:23:32Z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eyJoZGlkIjoiYTE0ZTIzNjU4NWJiYzFjNjU1YzQ3YmVhMTllZjcwYmYiLCJ1c2VySWQiOiI1Njk2MDg4MzkifQ==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4E84C5E37F52425FA81A5407655CD979_12</vt:lpwstr>
  </property>
</Properties>
</file>