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普林格新四核轮动模型投资报告</w:t>
      </w:r>
    </w:p>
    <w:p>
      <w:pPr>
        <w:pStyle w:val="1"/>
        <w:spacing w:before="380" w:after="140" w:line="288" w:lineRule="auto"/>
        <w:ind w:left="0"/>
        <w:jc w:val="left"/>
        <w:outlineLvl w:val="0"/>
      </w:pPr>
      <w:bookmarkStart w:name="heading_0" w:id="0"/>
      <w:r>
        <w:rPr>
          <w:rFonts w:eastAsia="等线" w:ascii="Arial" w:cs="Arial" w:hAnsi="Arial"/>
          <w:b w:val="true"/>
          <w:sz w:val="36"/>
        </w:rPr>
        <w:t>传统普林格周期模型</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什么是传统普林格周期模型</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模型原理</w:t>
      </w:r>
      <w:bookmarkEnd w:id="2"/>
    </w:p>
    <w:p>
      <w:pPr>
        <w:spacing w:before="120" w:after="120" w:line="288" w:lineRule="auto"/>
        <w:ind w:left="0"/>
        <w:jc w:val="left"/>
      </w:pPr>
      <w:r>
        <w:rPr>
          <w:rFonts w:eastAsia="等线" w:ascii="Arial" w:cs="Arial" w:hAnsi="Arial"/>
          <w:sz w:val="22"/>
        </w:rPr>
        <w:t>传统普林格周期模型以</w:t>
      </w:r>
      <w:r>
        <w:rPr>
          <w:rFonts w:eastAsia="等线" w:ascii="Arial" w:cs="Arial" w:hAnsi="Arial"/>
          <w:b w:val="true"/>
          <w:sz w:val="22"/>
        </w:rPr>
        <w:t>跨市场价格联动</w:t>
      </w:r>
      <w:r>
        <w:rPr>
          <w:rFonts w:eastAsia="等线" w:ascii="Arial" w:cs="Arial" w:hAnsi="Arial"/>
          <w:sz w:val="22"/>
        </w:rPr>
        <w:t>为核心框架，突破传统宏观滞后数据的局限，将经济周期划分为六个连续阶段，明确债券、股票、大宗商品三大类资产的见底、见顶时序与轮动规律，以资产价格信号预判周期位置，为大类资产配置提供量化依据。</w:t>
      </w:r>
    </w:p>
    <w:p>
      <w:pPr>
        <w:pStyle w:val="4"/>
        <w:spacing w:before="260" w:after="120" w:line="288" w:lineRule="auto"/>
        <w:ind w:left="0"/>
        <w:jc w:val="left"/>
        <w:outlineLvl w:val="3"/>
      </w:pPr>
      <w:bookmarkStart w:name="heading_3" w:id="3"/>
      <w:r>
        <w:rPr>
          <w:rFonts w:eastAsia="等线" w:ascii="Arial" w:cs="Arial" w:hAnsi="Arial"/>
          <w:color w:val="3370ff"/>
          <w:sz w:val="28"/>
        </w:rPr>
        <w:t xml:space="preserve">1. </w:t>
      </w:r>
      <w:r>
        <w:rPr>
          <w:rFonts w:eastAsia="等线" w:ascii="Arial" w:cs="Arial" w:hAnsi="Arial"/>
          <w:b w:val="true"/>
          <w:sz w:val="28"/>
        </w:rPr>
        <w:t>核心传导逻辑</w:t>
      </w:r>
      <w:bookmarkEnd w:id="3"/>
    </w:p>
    <w:p>
      <w:pPr>
        <w:spacing w:before="120" w:after="120" w:line="288" w:lineRule="auto"/>
        <w:ind w:left="0"/>
        <w:jc w:val="left"/>
      </w:pPr>
      <w:r>
        <w:rPr>
          <w:rFonts w:eastAsia="等线" w:ascii="Arial" w:cs="Arial" w:hAnsi="Arial"/>
          <w:sz w:val="22"/>
        </w:rPr>
        <w:t>模型遵循</w:t>
      </w:r>
      <w:r>
        <w:rPr>
          <w:rFonts w:eastAsia="等线" w:ascii="Arial" w:cs="Arial" w:hAnsi="Arial"/>
          <w:b w:val="true"/>
          <w:sz w:val="22"/>
        </w:rPr>
        <w:t>利率→债券→股票→大宗商品</w:t>
      </w:r>
      <w:r>
        <w:rPr>
          <w:rFonts w:eastAsia="等线" w:ascii="Arial" w:cs="Arial" w:hAnsi="Arial"/>
          <w:sz w:val="22"/>
        </w:rPr>
        <w:t>的周期传导链条：经济放缓率先引发利率下行，债券市场率先见底回升；流动性宽松与企业盈利预期修复推动股票市场触底反弹；经济全面过热带动通胀上行，大宗商品最后进入上涨周期。反之，经济过热触发加息收紧，债券率先见顶，随后股票、大宗商品依次见顶回落。</w:t>
      </w:r>
    </w:p>
    <w:p>
      <w:pPr>
        <w:spacing w:before="120" w:after="120" w:line="288" w:lineRule="auto"/>
        <w:ind w:left="0"/>
        <w:jc w:val="center"/>
      </w:pPr>
      <w:r>
        <w:drawing>
          <wp:inline distT="0" distR="0" distB="0" distL="0">
            <wp:extent cx="5257800" cy="2952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952750"/>
                    </a:xfrm>
                    <a:prstGeom prst="rect">
                      <a:avLst/>
                    </a:prstGeom>
                  </pic:spPr>
                </pic:pic>
              </a:graphicData>
            </a:graphic>
          </wp:inline>
        </w:drawing>
      </w:r>
    </w:p>
    <w:p>
      <w:pPr>
        <w:pStyle w:val="4"/>
        <w:spacing w:before="260" w:after="120" w:line="288" w:lineRule="auto"/>
        <w:ind w:left="0"/>
        <w:jc w:val="left"/>
        <w:outlineLvl w:val="3"/>
      </w:pPr>
      <w:bookmarkStart w:name="heading_4" w:id="4"/>
      <w:r>
        <w:rPr>
          <w:rFonts w:eastAsia="等线" w:ascii="Arial" w:cs="Arial" w:hAnsi="Arial"/>
          <w:color w:val="3370ff"/>
          <w:sz w:val="28"/>
        </w:rPr>
        <w:t xml:space="preserve">2. </w:t>
      </w:r>
      <w:r>
        <w:rPr>
          <w:rFonts w:eastAsia="等线" w:ascii="Arial" w:cs="Arial" w:hAnsi="Arial"/>
          <w:b w:val="true"/>
          <w:sz w:val="28"/>
        </w:rPr>
        <w:t>六阶段资产轮动规律</w:t>
      </w:r>
      <w:bookmarkEnd w:id="4"/>
    </w:p>
    <w:p>
      <w:pPr>
        <w:spacing w:before="120" w:after="120" w:line="288" w:lineRule="auto"/>
        <w:ind w:left="0"/>
        <w:jc w:val="left"/>
      </w:pPr>
      <w:r>
        <w:rPr>
          <w:rFonts w:eastAsia="等线" w:ascii="Arial" w:cs="Arial" w:hAnsi="Arial"/>
          <w:sz w:val="22"/>
        </w:rPr>
        <w:t>依据债券、股票、大宗商品的趋势涨跌组合，模型将经济周期划分为六个阶段，各阶段对应明确的占优资产：</w:t>
      </w:r>
    </w:p>
    <w:p>
      <w:pPr>
        <w:numPr>
          <w:numId w:val="1"/>
        </w:numPr>
        <w:spacing w:before="120" w:after="120" w:line="288" w:lineRule="auto"/>
        <w:ind w:left="0"/>
        <w:jc w:val="left"/>
      </w:pPr>
      <w:r>
        <w:rPr>
          <w:rFonts w:eastAsia="等线" w:ascii="Arial" w:cs="Arial" w:hAnsi="Arial"/>
          <w:sz w:val="22"/>
        </w:rPr>
        <w:t>阶段Ⅰ：仅债券上涨，经济低迷，逆周期调节政策启动；</w:t>
      </w:r>
    </w:p>
    <w:p>
      <w:pPr>
        <w:numPr>
          <w:numId w:val="2"/>
        </w:numPr>
        <w:spacing w:before="120" w:after="120" w:line="288" w:lineRule="auto"/>
        <w:ind w:left="0"/>
        <w:jc w:val="left"/>
      </w:pPr>
      <w:r>
        <w:rPr>
          <w:rFonts w:eastAsia="等线" w:ascii="Arial" w:cs="Arial" w:hAnsi="Arial"/>
          <w:sz w:val="22"/>
        </w:rPr>
        <w:t>阶段Ⅱ：债券与股票同步上涨，经济复苏信号确立；</w:t>
      </w:r>
    </w:p>
    <w:p>
      <w:pPr>
        <w:numPr>
          <w:numId w:val="3"/>
        </w:numPr>
        <w:spacing w:before="120" w:after="120" w:line="288" w:lineRule="auto"/>
        <w:ind w:left="0"/>
        <w:jc w:val="left"/>
      </w:pPr>
      <w:r>
        <w:rPr>
          <w:rFonts w:eastAsia="等线" w:ascii="Arial" w:cs="Arial" w:hAnsi="Arial"/>
          <w:sz w:val="22"/>
        </w:rPr>
        <w:t>阶段Ⅲ：债券、股票、大宗商品全线上涨，经济步入全面繁荣；</w:t>
      </w:r>
    </w:p>
    <w:p>
      <w:pPr>
        <w:numPr>
          <w:numId w:val="4"/>
        </w:numPr>
        <w:spacing w:before="120" w:after="120" w:line="288" w:lineRule="auto"/>
        <w:ind w:left="0"/>
        <w:jc w:val="left"/>
      </w:pPr>
      <w:r>
        <w:rPr>
          <w:rFonts w:eastAsia="等线" w:ascii="Arial" w:cs="Arial" w:hAnsi="Arial"/>
          <w:sz w:val="22"/>
        </w:rPr>
        <w:t>阶段Ⅳ：股票与商品上涨，债券因加息预期开启下跌；</w:t>
      </w:r>
    </w:p>
    <w:p>
      <w:pPr>
        <w:numPr>
          <w:numId w:val="5"/>
        </w:numPr>
        <w:spacing w:before="120" w:after="120" w:line="288" w:lineRule="auto"/>
        <w:ind w:left="0"/>
        <w:jc w:val="left"/>
      </w:pPr>
      <w:r>
        <w:rPr>
          <w:rFonts w:eastAsia="等线" w:ascii="Arial" w:cs="Arial" w:hAnsi="Arial"/>
          <w:sz w:val="22"/>
        </w:rPr>
        <w:t>阶段Ⅴ：仅大宗商品上涨，经济进入滞胀阶段，股票市场见顶；</w:t>
      </w:r>
    </w:p>
    <w:p>
      <w:pPr>
        <w:numPr>
          <w:numId w:val="6"/>
        </w:numPr>
        <w:spacing w:before="120" w:after="120" w:line="288" w:lineRule="auto"/>
        <w:ind w:left="0"/>
        <w:jc w:val="left"/>
      </w:pPr>
      <w:r>
        <w:rPr>
          <w:rFonts w:eastAsia="等线" w:ascii="Arial" w:cs="Arial" w:hAnsi="Arial"/>
          <w:sz w:val="22"/>
        </w:rPr>
        <w:t>阶段Ⅵ：三类资产全线下跌，经济步入萧条期。</w:t>
      </w:r>
    </w:p>
    <w:p>
      <w:pPr>
        <w:pStyle w:val="4"/>
        <w:spacing w:before="260" w:after="120" w:line="288" w:lineRule="auto"/>
        <w:ind w:left="0"/>
        <w:jc w:val="left"/>
        <w:outlineLvl w:val="3"/>
      </w:pPr>
      <w:bookmarkStart w:name="heading_5" w:id="5"/>
      <w:r>
        <w:rPr>
          <w:rFonts w:eastAsia="等线" w:ascii="Arial" w:cs="Arial" w:hAnsi="Arial"/>
          <w:color w:val="3370ff"/>
          <w:sz w:val="28"/>
        </w:rPr>
        <w:t xml:space="preserve">3. </w:t>
      </w:r>
      <w:r>
        <w:rPr>
          <w:rFonts w:eastAsia="等线" w:ascii="Arial" w:cs="Arial" w:hAnsi="Arial"/>
          <w:b w:val="true"/>
          <w:sz w:val="28"/>
        </w:rPr>
        <w:t>周期阶段识别机制</w:t>
      </w:r>
      <w:bookmarkEnd w:id="5"/>
    </w:p>
    <w:p>
      <w:pPr>
        <w:spacing w:before="120" w:after="120" w:line="288" w:lineRule="auto"/>
        <w:ind w:left="0"/>
        <w:jc w:val="left"/>
      </w:pPr>
      <w:r>
        <w:rPr>
          <w:rFonts w:eastAsia="等线" w:ascii="Arial" w:cs="Arial" w:hAnsi="Arial"/>
          <w:sz w:val="22"/>
        </w:rPr>
        <w:t>模型通过</w:t>
      </w:r>
      <w:r>
        <w:rPr>
          <w:rFonts w:eastAsia="等线" w:ascii="Arial" w:cs="Arial" w:hAnsi="Arial"/>
          <w:b w:val="true"/>
          <w:sz w:val="22"/>
        </w:rPr>
        <w:t>三大市场晴雨表</w:t>
      </w:r>
      <w:r>
        <w:rPr>
          <w:rFonts w:eastAsia="等线" w:ascii="Arial" w:cs="Arial" w:hAnsi="Arial"/>
          <w:sz w:val="22"/>
        </w:rPr>
        <w:t>判断周期阶段：分别构建债券、股票、商品晴雨表，各晴雨表整合12-15项经济、金融、技术类成分指标，以50%为临界值判定市场看涨/看跌状态，通过三大市场信号组合锁定当前周期阶段。同时辅以贴现率、领先/同步/滞后经济指标、收益率曲线等工具，精准识别周期转折点。</w:t>
      </w:r>
    </w:p>
    <w:p>
      <w:pPr>
        <w:spacing w:before="120" w:after="120" w:line="288" w:lineRule="auto"/>
        <w:ind w:left="0"/>
        <w:jc w:val="center"/>
      </w:pPr>
      <w:r>
        <w:drawing>
          <wp:inline distT="0" distR="0" distB="0" distL="0">
            <wp:extent cx="5257800" cy="39433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943350"/>
                    </a:xfrm>
                    <a:prstGeom prst="rect">
                      <a:avLst/>
                    </a:prstGeom>
                  </pic:spPr>
                </pic:pic>
              </a:graphicData>
            </a:graphic>
          </wp:inline>
        </w:drawing>
      </w:r>
    </w:p>
    <w:p>
      <w:pPr>
        <w:pStyle w:val="4"/>
        <w:spacing w:before="260" w:after="120" w:line="288" w:lineRule="auto"/>
        <w:ind w:left="0"/>
        <w:jc w:val="left"/>
        <w:outlineLvl w:val="3"/>
      </w:pPr>
      <w:bookmarkStart w:name="heading_6" w:id="6"/>
      <w:r>
        <w:rPr>
          <w:rFonts w:eastAsia="等线" w:ascii="Arial" w:cs="Arial" w:hAnsi="Arial"/>
          <w:color w:val="3370ff"/>
          <w:sz w:val="28"/>
        </w:rPr>
        <w:t xml:space="preserve">4. </w:t>
      </w:r>
      <w:r>
        <w:rPr>
          <w:rFonts w:eastAsia="等线" w:ascii="Arial" w:cs="Arial" w:hAnsi="Arial"/>
          <w:b w:val="true"/>
          <w:sz w:val="28"/>
        </w:rPr>
        <w:t>周期运行特征</w:t>
      </w:r>
      <w:bookmarkEnd w:id="6"/>
    </w:p>
    <w:p>
      <w:pPr>
        <w:spacing w:before="120" w:after="120" w:line="288" w:lineRule="auto"/>
        <w:ind w:left="0"/>
        <w:jc w:val="left"/>
      </w:pPr>
      <w:r>
        <w:rPr>
          <w:rFonts w:eastAsia="等线" w:ascii="Arial" w:cs="Arial" w:hAnsi="Arial"/>
          <w:sz w:val="22"/>
        </w:rPr>
        <w:t>经济周期并非严格遍历全部六个阶段，实际运行中存在阶段跳跃或阶段性回溯的情况，需结合市场信号动态验证。</w:t>
      </w:r>
    </w:p>
    <w:p>
      <w:pPr>
        <w:spacing w:before="120" w:after="120" w:line="288" w:lineRule="auto"/>
        <w:ind w:left="0"/>
        <w:jc w:val="center"/>
      </w:pPr>
      <w:r>
        <w:drawing>
          <wp:inline distT="0" distR="0" distB="0" distL="0">
            <wp:extent cx="5257800" cy="2952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952750"/>
                    </a:xfrm>
                    <a:prstGeom prst="rect">
                      <a:avLst/>
                    </a:prstGeom>
                  </pic:spPr>
                </pic:pic>
              </a:graphicData>
            </a:graphic>
          </wp:inline>
        </w:drawing>
      </w:r>
    </w:p>
    <w:p>
      <w:pPr>
        <w:numPr>
          <w:numId w:val="7"/>
        </w:numPr>
        <w:spacing w:before="120" w:after="120" w:line="288" w:lineRule="auto"/>
        <w:ind w:left="0"/>
        <w:jc w:val="left"/>
      </w:pPr>
      <w:r>
        <w:rPr>
          <w:rFonts w:eastAsia="等线" w:ascii="Arial" w:cs="Arial" w:hAnsi="Arial"/>
          <w:color w:val="2ea121"/>
          <w:sz w:val="22"/>
        </w:rPr>
        <w:t>%%%想要了解更多关于普林格周期模型的信息？</w:t>
      </w:r>
    </w:p>
    <w:p>
      <w:pPr>
        <w:spacing w:before="120" w:after="120" w:line="288" w:lineRule="auto"/>
        <w:ind w:left="0"/>
        <w:jc w:val="left"/>
      </w:pPr>
      <w:r>
        <w:rPr>
          <w:rFonts w:eastAsia="等线" w:ascii="Arial" w:cs="Arial" w:hAnsi="Arial"/>
          <w:color w:val="2ea121"/>
          <w:sz w:val="22"/>
        </w:rPr>
        <w:t>普林格理论相关.docx</w:t>
      </w:r>
    </w:p>
    <w:p>
      <w:pPr>
        <w:pStyle w:val="3"/>
        <w:spacing w:before="300" w:after="120" w:line="288" w:lineRule="auto"/>
        <w:ind w:left="0"/>
        <w:jc w:val="left"/>
        <w:outlineLvl w:val="2"/>
      </w:pPr>
      <w:bookmarkStart w:name="heading_7" w:id="7"/>
      <w:r>
        <w:rPr>
          <w:rFonts w:eastAsia="等线" w:ascii="Arial" w:cs="Arial" w:hAnsi="Arial"/>
          <w:b w:val="true"/>
          <w:sz w:val="30"/>
        </w:rPr>
        <w:t>在投资中的运用示例</w:t>
      </w:r>
      <w:bookmarkEnd w:id="7"/>
    </w:p>
    <w:p>
      <w:pPr>
        <w:pStyle w:val="4"/>
        <w:spacing w:before="260" w:after="120" w:line="288" w:lineRule="auto"/>
        <w:ind w:left="0"/>
        <w:jc w:val="left"/>
        <w:outlineLvl w:val="3"/>
      </w:pPr>
      <w:bookmarkStart w:name="heading_8" w:id="8"/>
      <w:r>
        <w:rPr>
          <w:rFonts w:eastAsia="等线" w:ascii="Arial" w:cs="Arial" w:hAnsi="Arial"/>
          <w:color w:val="3370ff"/>
          <w:sz w:val="28"/>
        </w:rPr>
        <w:t xml:space="preserve">1. </w:t>
      </w:r>
      <w:r>
        <w:rPr>
          <w:rFonts w:eastAsia="等线" w:ascii="Arial" w:cs="Arial" w:hAnsi="Arial"/>
          <w:b w:val="true"/>
          <w:sz w:val="28"/>
        </w:rPr>
        <w:t>回测设定</w:t>
      </w:r>
      <w:bookmarkEnd w:id="8"/>
    </w:p>
    <w:p>
      <w:pPr>
        <w:spacing w:before="120" w:after="120" w:line="288" w:lineRule="auto"/>
        <w:ind w:left="0"/>
        <w:jc w:val="left"/>
      </w:pPr>
      <w:r>
        <w:rPr>
          <w:rFonts w:eastAsia="等线" w:ascii="Arial" w:cs="Arial" w:hAnsi="Arial"/>
          <w:sz w:val="22"/>
        </w:rPr>
        <w:t>该回测以普林格六阶段周期模型为基础，通过宏观因子判断经济所处阶段，并在股票、债券、商品和现金四类资产之间进行动态轮动配置。策略采用核心—卫星仓位结构，在控制风险分散的同时，重点配置当前周期下的优势资产，以检验该模型在国内大类资产配置中的实践效果。</w:t>
      </w:r>
    </w:p>
    <w:p>
      <w:pPr>
        <w:spacing w:before="120" w:after="120" w:line="288" w:lineRule="auto"/>
        <w:ind w:left="0"/>
        <w:jc w:val="center"/>
      </w:pPr>
      <w:r>
        <w:drawing>
          <wp:inline distT="0" distR="0" distB="0" distL="0">
            <wp:extent cx="5257800" cy="35052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505200"/>
                    </a:xfrm>
                    <a:prstGeom prst="rect">
                      <a:avLst/>
                    </a:prstGeom>
                  </pic:spPr>
                </pic:pic>
              </a:graphicData>
            </a:graphic>
          </wp:inline>
        </w:drawing>
      </w:r>
    </w:p>
    <w:p>
      <w:pPr>
        <w:numPr>
          <w:numId w:val="8"/>
        </w:numPr>
        <w:spacing w:before="120" w:after="120" w:line="288" w:lineRule="auto"/>
        <w:ind w:left="0"/>
        <w:jc w:val="left"/>
      </w:pPr>
      <w:r>
        <w:rPr>
          <w:rFonts w:eastAsia="等线" w:ascii="Arial" w:cs="Arial" w:hAnsi="Arial"/>
          <w:color w:val="2ea121"/>
          <w:sz w:val="22"/>
        </w:rPr>
        <w:t>%%%想要了解三类因子是怎么合成的？</w:t>
      </w:r>
    </w:p>
    <w:p>
      <w:pPr>
        <w:spacing w:before="120" w:after="120" w:line="288" w:lineRule="auto"/>
        <w:ind w:left="0"/>
        <w:jc w:val="left"/>
      </w:pPr>
      <w:r>
        <w:rPr>
          <w:rFonts w:eastAsia="等线" w:ascii="Arial" w:cs="Arial" w:hAnsi="Arial"/>
          <w:color w:val="2ea121"/>
          <w:sz w:val="22"/>
        </w:rPr>
        <w:t>普林格周期判断的因子依据.docx</w:t>
      </w:r>
    </w:p>
    <w:p>
      <w:pPr>
        <w:pStyle w:val="4"/>
        <w:spacing w:before="260" w:after="120" w:line="288" w:lineRule="auto"/>
        <w:ind w:left="0"/>
        <w:jc w:val="left"/>
        <w:outlineLvl w:val="3"/>
      </w:pPr>
      <w:bookmarkStart w:name="heading_9" w:id="9"/>
      <w:r>
        <w:rPr>
          <w:rFonts w:eastAsia="等线" w:ascii="Arial" w:cs="Arial" w:hAnsi="Arial"/>
          <w:color w:val="3370ff"/>
          <w:sz w:val="28"/>
        </w:rPr>
        <w:t xml:space="preserve">2. </w:t>
      </w:r>
      <w:r>
        <w:rPr>
          <w:rFonts w:eastAsia="等线" w:ascii="Arial" w:cs="Arial" w:hAnsi="Arial"/>
          <w:b w:val="true"/>
          <w:sz w:val="28"/>
        </w:rPr>
        <w:t>回测结果</w:t>
      </w:r>
      <w:bookmarkEnd w:id="9"/>
    </w:p>
    <w:p>
      <w:pPr>
        <w:spacing w:before="120" w:after="120" w:line="288" w:lineRule="auto"/>
        <w:ind w:left="0"/>
        <w:jc w:val="center"/>
      </w:pPr>
      <w:r>
        <w:drawing>
          <wp:inline distT="0" distR="0" distB="0" distL="0">
            <wp:extent cx="5257800" cy="41910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41910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回测结果：</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58pt;mso-width-percent:0;mso-height-percent:0;mso-width-percent:0;mso-height-percent:0" type="#_x0000_t75" o:ole="">
            <v:imagedata r:id="rId11" o:title=""/>
          </v:shape>
          <o:OLEObject DrawAspect="Icon" ObjectID="_1718471219" ProgID="Excel.Sheet.12" ShapeID="_x0000_i1025" Type="Embed" r:id="rId1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从净值曲线走势来看，传统普林格策略净值呈现稳健抬升态势：在权益市场表现低迷阶段，通过配置债券、商品等非权益资产有效规避下行风险；在权益行情向好时期，则适时增配权益资产以捕捉收益弹性，体现了模型在大类资产择时上的有效性与优越性。从整体绩效维度观察，该策略组合的年化收益率、最大回撤、夏普比率等核心风险收益指标均显著优于沪深 300 指数，实现了长期收益获取与组合稳定性的双重优化。</w:t>
      </w:r>
    </w:p>
    <w:p>
      <w:pPr>
        <w:spacing w:before="120" w:after="120" w:line="288" w:lineRule="auto"/>
        <w:ind w:left="0"/>
        <w:jc w:val="center"/>
      </w:pPr>
      <w:r>
        <w:drawing>
          <wp:inline distT="0" distR="0" distB="0" distL="0">
            <wp:extent cx="5257800" cy="5629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5257800" cy="5629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从年度绩效维度分析，传统普林格模型在权益市场弱势环境中具备较强的抗风险能力：2018 年、2022 年沪深 300 指数大幅回撤期间，策略仍实现正收益；2023 年市场持续低迷阶段，收益仅小幅为负。由此可见，在弱势市场环境下，传统普林格模型超额收益显著，避险对冲效果突出。</w:t>
      </w:r>
    </w:p>
    <w:p>
      <w:pPr>
        <w:pStyle w:val="2"/>
        <w:spacing w:before="320" w:after="120" w:line="288" w:lineRule="auto"/>
        <w:ind w:left="0"/>
        <w:jc w:val="left"/>
        <w:outlineLvl w:val="1"/>
      </w:pPr>
      <w:bookmarkStart w:name="heading_10" w:id="10"/>
      <w:r>
        <w:rPr>
          <w:rFonts w:eastAsia="等线" w:ascii="Arial" w:cs="Arial" w:hAnsi="Arial"/>
          <w:b w:val="true"/>
          <w:sz w:val="32"/>
        </w:rPr>
        <w:t>传统普林格周期模型的缺点</w:t>
      </w:r>
      <w:bookmarkEnd w:id="10"/>
    </w:p>
    <w:p>
      <w:pPr>
        <w:pStyle w:val="3"/>
        <w:spacing w:before="300" w:after="120" w:line="288" w:lineRule="auto"/>
        <w:ind w:left="0"/>
        <w:jc w:val="left"/>
        <w:outlineLvl w:val="2"/>
      </w:pPr>
      <w:bookmarkStart w:name="heading_11" w:id="11"/>
      <w:r>
        <w:rPr>
          <w:rFonts w:eastAsia="等线" w:ascii="Arial" w:cs="Arial" w:hAnsi="Arial"/>
          <w:b w:val="true"/>
          <w:sz w:val="30"/>
        </w:rPr>
        <w:t>缺点1：牛市表现不佳</w:t>
      </w:r>
      <w:bookmarkEnd w:id="11"/>
    </w:p>
    <w:p>
      <w:pPr>
        <w:spacing w:before="120" w:after="120" w:line="288" w:lineRule="auto"/>
        <w:ind w:left="0"/>
        <w:jc w:val="left"/>
      </w:pPr>
      <w:r>
        <w:rPr>
          <w:rFonts w:eastAsia="等线" w:ascii="Arial" w:cs="Arial" w:hAnsi="Arial"/>
          <w:sz w:val="22"/>
        </w:rPr>
        <w:t>从回测结果的年度绩效维度分析可见，传统普林格模型在弱势市场中具备显著超额收益，但在强势市场环境下表现相对乏力。2017年、2019年、2020年及2025年权益市场强势上行阶段，该模型收益率较沪深300指数近乎腰斩，导致组合在部分强势行情年份的持有体验欠佳。</w:t>
      </w:r>
    </w:p>
    <w:p>
      <w:pPr>
        <w:pStyle w:val="3"/>
        <w:spacing w:before="300" w:after="120" w:line="288" w:lineRule="auto"/>
        <w:ind w:left="0"/>
        <w:jc w:val="left"/>
        <w:outlineLvl w:val="2"/>
      </w:pPr>
      <w:bookmarkStart w:name="heading_12" w:id="12"/>
      <w:r>
        <w:rPr>
          <w:rFonts w:eastAsia="等线" w:ascii="Arial" w:cs="Arial" w:hAnsi="Arial"/>
          <w:b w:val="true"/>
          <w:sz w:val="30"/>
        </w:rPr>
        <w:t>缺点2：资产端存在拖累</w:t>
      </w:r>
      <w:bookmarkEnd w:id="12"/>
    </w:p>
    <w:p>
      <w:pPr>
        <w:spacing w:before="120" w:after="120" w:line="288" w:lineRule="auto"/>
        <w:ind w:left="0"/>
        <w:jc w:val="center"/>
      </w:pPr>
      <w:r>
        <w:drawing>
          <wp:inline distT="0" distR="0" distB="0" distL="0">
            <wp:extent cx="5257800" cy="31146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3"/>
                    <a:stretch>
                      <a:fillRect/>
                    </a:stretch>
                  </pic:blipFill>
                  <pic:spPr>
                    <a:xfrm>
                      <a:off x="0" y="0"/>
                      <a:ext cx="5257800" cy="3114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从收益贡献结构来看，策略收益主要来源于商品指数，其次为沪深300指数；而中证转债与货币基金收益贡献微弱，却占用了较高持仓权重，这是传统普林格周期模型在牛市行情中表现偏弱的重要原因之一。</w:t>
      </w:r>
    </w:p>
    <w:p>
      <w:pPr>
        <w:pStyle w:val="3"/>
        <w:spacing w:before="300" w:after="120" w:line="288" w:lineRule="auto"/>
        <w:ind w:left="0"/>
        <w:jc w:val="left"/>
        <w:outlineLvl w:val="2"/>
      </w:pPr>
      <w:bookmarkStart w:name="heading_13" w:id="13"/>
      <w:r>
        <w:rPr>
          <w:rFonts w:eastAsia="等线" w:ascii="Arial" w:cs="Arial" w:hAnsi="Arial"/>
          <w:b w:val="true"/>
          <w:sz w:val="30"/>
        </w:rPr>
        <w:t>缺点3：过度依赖择时</w:t>
      </w:r>
      <w:bookmarkEnd w:id="13"/>
    </w:p>
    <w:p>
      <w:pPr>
        <w:spacing w:before="120" w:after="120" w:line="288" w:lineRule="auto"/>
        <w:ind w:left="0"/>
        <w:jc w:val="left"/>
      </w:pPr>
      <w:r>
        <w:rPr>
          <w:rFonts w:eastAsia="等线" w:ascii="Arial" w:cs="Arial" w:hAnsi="Arial"/>
          <w:sz w:val="22"/>
        </w:rPr>
        <w:t>宏观因子呈月频低频特征，信号滞后且反应迟钝。当策略处于Stage 2（权益重仓阶段）时，若市场突发疫情、政策冲击等黑天鹅事件并快速下行，组合仍维持70%高权益仓位被动承受波动，极易引发难以修复的净值大幅回撤，甚至造成不可逆的净值崩塌。简言之，低频信号下的择时偏差，可能对组合形成毁灭性冲击。</w:t>
      </w:r>
    </w:p>
    <w:p>
      <w:pPr>
        <w:pStyle w:val="3"/>
        <w:spacing w:before="300" w:after="120" w:line="288" w:lineRule="auto"/>
        <w:ind w:left="0"/>
        <w:jc w:val="left"/>
        <w:outlineLvl w:val="2"/>
      </w:pPr>
      <w:bookmarkStart w:name="heading_14" w:id="14"/>
      <w:r>
        <w:rPr>
          <w:rFonts w:eastAsia="等线" w:ascii="Arial" w:cs="Arial" w:hAnsi="Arial"/>
          <w:b w:val="true"/>
          <w:sz w:val="30"/>
        </w:rPr>
        <w:t>对传统普林格的改良思路</w:t>
      </w:r>
      <w:bookmarkEnd w:id="14"/>
    </w:p>
    <w:p>
      <w:pPr>
        <w:numPr>
          <w:numId w:val="9"/>
        </w:numPr>
        <w:spacing w:before="120" w:after="120" w:line="288" w:lineRule="auto"/>
        <w:ind w:left="0"/>
        <w:jc w:val="left"/>
      </w:pPr>
      <w:r>
        <w:rPr>
          <w:rFonts w:eastAsia="等线" w:ascii="Arial" w:cs="Arial" w:hAnsi="Arial"/>
          <w:sz w:val="22"/>
        </w:rPr>
        <w:t>针对缺点1和缺点2——寻找一种可攻可守的资产，在牛熊两种极端行情都能取得不错的收益</w:t>
      </w:r>
    </w:p>
    <w:p>
      <w:pPr>
        <w:numPr>
          <w:numId w:val="10"/>
        </w:numPr>
        <w:spacing w:before="120" w:after="120" w:line="288" w:lineRule="auto"/>
        <w:ind w:left="0"/>
        <w:jc w:val="left"/>
      </w:pPr>
      <w:r>
        <w:rPr>
          <w:rFonts w:eastAsia="等线" w:ascii="Arial" w:cs="Arial" w:hAnsi="Arial"/>
          <w:sz w:val="22"/>
        </w:rPr>
        <w:t>针对缺点3——寻找一种止损策略，在风险敞口较大时及时监控风险</w:t>
      </w:r>
    </w:p>
    <w:p>
      <w:pPr>
        <w:pStyle w:val="1"/>
        <w:spacing w:before="380" w:after="140" w:line="288" w:lineRule="auto"/>
        <w:ind w:left="0"/>
        <w:jc w:val="left"/>
        <w:outlineLvl w:val="0"/>
      </w:pPr>
      <w:bookmarkStart w:name="heading_15" w:id="15"/>
      <w:r>
        <w:rPr>
          <w:rFonts w:eastAsia="等线" w:ascii="Arial" w:cs="Arial" w:hAnsi="Arial"/>
          <w:b w:val="true"/>
          <w:sz w:val="36"/>
        </w:rPr>
        <w:t>普林格新四核轮动模型</w:t>
      </w:r>
      <w:bookmarkEnd w:id="15"/>
    </w:p>
    <w:p>
      <w:pPr>
        <w:pStyle w:val="2"/>
        <w:spacing w:before="320" w:after="120" w:line="288" w:lineRule="auto"/>
        <w:ind w:left="0"/>
        <w:jc w:val="left"/>
        <w:outlineLvl w:val="1"/>
      </w:pPr>
      <w:bookmarkStart w:name="heading_16" w:id="16"/>
      <w:r>
        <w:rPr>
          <w:rFonts w:eastAsia="等线" w:ascii="Arial" w:cs="Arial" w:hAnsi="Arial"/>
          <w:b w:val="true"/>
          <w:sz w:val="32"/>
        </w:rPr>
        <w:t>新普林格模型做了什么改进</w:t>
      </w:r>
      <w:bookmarkEnd w:id="16"/>
    </w:p>
    <w:p>
      <w:pPr>
        <w:pStyle w:val="3"/>
        <w:spacing w:before="300" w:after="120" w:line="288" w:lineRule="auto"/>
        <w:ind w:left="0"/>
        <w:jc w:val="left"/>
        <w:outlineLvl w:val="2"/>
      </w:pPr>
      <w:bookmarkStart w:name="heading_17" w:id="17"/>
      <w:r>
        <w:rPr>
          <w:rFonts w:eastAsia="等线" w:ascii="Arial" w:cs="Arial" w:hAnsi="Arial"/>
          <w:b w:val="true"/>
          <w:sz w:val="30"/>
        </w:rPr>
        <w:t>资产端</w:t>
      </w:r>
      <w:bookmarkEnd w:id="17"/>
    </w:p>
    <w:p>
      <w:pPr>
        <w:numPr>
          <w:numId w:val="11"/>
        </w:numPr>
        <w:spacing w:before="120" w:after="120" w:line="288" w:lineRule="auto"/>
        <w:ind w:left="0"/>
        <w:jc w:val="left"/>
      </w:pPr>
      <w:r>
        <w:rPr>
          <w:rFonts w:eastAsia="等线" w:ascii="Arial" w:cs="Arial" w:hAnsi="Arial"/>
          <w:sz w:val="22"/>
        </w:rPr>
        <w:t>以可转债指数全面替代货币基金与中证全债指数，同时配置 10% 仓位持有国开债，构建组合避险缓冲。</w:t>
      </w:r>
    </w:p>
    <w:p>
      <w:pPr>
        <w:numPr>
          <w:numId w:val="12"/>
        </w:numPr>
        <w:spacing w:before="120" w:after="120" w:line="288" w:lineRule="auto"/>
        <w:ind w:left="0"/>
        <w:jc w:val="left"/>
      </w:pPr>
      <w:r>
        <w:rPr>
          <w:rFonts w:eastAsia="等线" w:ascii="Arial" w:cs="Arial" w:hAnsi="Arial"/>
          <w:sz w:val="22"/>
        </w:rPr>
        <w:t>用沪深300、中证1000、创业板指数、恒生科技指数等权组合替代沪深300（可选：用行业景气度Top4组合替代沪深300）。</w:t>
      </w:r>
    </w:p>
    <w:p>
      <w:pPr>
        <w:pStyle w:val="3"/>
        <w:spacing w:before="300" w:after="120" w:line="288" w:lineRule="auto"/>
        <w:ind w:left="0"/>
        <w:jc w:val="left"/>
        <w:outlineLvl w:val="2"/>
      </w:pPr>
      <w:bookmarkStart w:name="heading_18" w:id="18"/>
      <w:r>
        <w:rPr>
          <w:rFonts w:eastAsia="等线" w:ascii="Arial" w:cs="Arial" w:hAnsi="Arial"/>
          <w:b w:val="true"/>
          <w:sz w:val="30"/>
        </w:rPr>
        <w:t>风控端</w:t>
      </w:r>
      <w:bookmarkEnd w:id="18"/>
    </w:p>
    <w:p>
      <w:pPr>
        <w:numPr>
          <w:numId w:val="13"/>
        </w:numPr>
        <w:spacing w:before="120" w:after="120" w:line="288" w:lineRule="auto"/>
        <w:ind w:left="0"/>
        <w:jc w:val="left"/>
      </w:pPr>
      <w:r>
        <w:rPr>
          <w:rFonts w:eastAsia="等线" w:ascii="Arial" w:cs="Arial" w:hAnsi="Arial"/>
          <w:sz w:val="22"/>
        </w:rPr>
        <w:t>针对 70% 重仓的核心资产（股票或商品），引入日频 20 日均线（MA20）动态监控机制。</w:t>
      </w:r>
    </w:p>
    <w:p>
      <w:pPr>
        <w:numPr>
          <w:numId w:val="14"/>
        </w:numPr>
        <w:spacing w:before="120" w:after="120" w:line="288" w:lineRule="auto"/>
        <w:ind w:left="0"/>
        <w:jc w:val="left"/>
      </w:pPr>
      <w:r>
        <w:rPr>
          <w:rFonts w:eastAsia="等线" w:ascii="Arial" w:cs="Arial" w:hAnsi="Arial"/>
          <w:sz w:val="22"/>
        </w:rPr>
        <w:t>常态下，配置10%国开债作为基础避险缓冲。当股票或商品核心主引擎触发MA20逃逸信号时，原配置的70%核心资金将快速撤离，全额转入国开债指数。</w:t>
      </w:r>
    </w:p>
    <w:p>
      <w:pPr>
        <w:pStyle w:val="2"/>
        <w:spacing w:before="320" w:after="120" w:line="288" w:lineRule="auto"/>
        <w:ind w:left="0"/>
        <w:jc w:val="left"/>
        <w:outlineLvl w:val="1"/>
      </w:pPr>
      <w:bookmarkStart w:name="heading_19" w:id="19"/>
      <w:r>
        <w:rPr>
          <w:rFonts w:eastAsia="等线" w:ascii="Arial" w:cs="Arial" w:hAnsi="Arial"/>
          <w:b w:val="true"/>
          <w:sz w:val="32"/>
        </w:rPr>
        <w:t>新普林格模型是如何运作的</w:t>
      </w:r>
      <w:bookmarkEnd w:id="19"/>
    </w:p>
    <w:p>
      <w:pPr>
        <w:pStyle w:val="3"/>
        <w:spacing w:before="300" w:after="120" w:line="288" w:lineRule="auto"/>
        <w:ind w:left="0"/>
        <w:jc w:val="left"/>
        <w:outlineLvl w:val="2"/>
      </w:pPr>
      <w:bookmarkStart w:name="heading_20" w:id="20"/>
      <w:r>
        <w:rPr>
          <w:rFonts w:eastAsia="等线" w:ascii="Arial" w:cs="Arial" w:hAnsi="Arial"/>
          <w:b w:val="true"/>
          <w:sz w:val="30"/>
        </w:rPr>
        <w:t>⭐一图讲解</w:t>
      </w:r>
      <w:bookmarkEnd w:id="20"/>
    </w:p>
    <w:p>
      <w:pPr>
        <w:spacing w:before="120" w:after="120" w:line="288" w:lineRule="auto"/>
        <w:ind w:left="0"/>
        <w:jc w:val="center"/>
      </w:pPr>
      <w:r>
        <w:drawing>
          <wp:inline distT="0" distR="0" distB="0" distL="0">
            <wp:extent cx="5257800" cy="74295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4"/>
                    <a:stretch>
                      <a:fillRect/>
                    </a:stretch>
                  </pic:blipFill>
                  <pic:spPr>
                    <a:xfrm>
                      <a:off x="0" y="0"/>
                      <a:ext cx="5257800" cy="7429500"/>
                    </a:xfrm>
                    <a:prstGeom prst="rect">
                      <a:avLst/>
                    </a:prstGeom>
                  </pic:spPr>
                </pic:pic>
              </a:graphicData>
            </a:graphic>
          </wp:inline>
        </w:drawing>
      </w: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1. </w:t>
      </w:r>
      <w:r>
        <w:rPr>
          <w:rFonts w:eastAsia="等线" w:ascii="Arial" w:cs="Arial" w:hAnsi="Arial"/>
          <w:b w:val="true"/>
          <w:sz w:val="30"/>
        </w:rPr>
        <w:t>实盘资产池构建</w:t>
      </w:r>
      <w:bookmarkEnd w:id="21"/>
    </w:p>
    <w:p>
      <w:pPr>
        <w:spacing w:before="120" w:after="120" w:line="288" w:lineRule="auto"/>
        <w:ind w:left="0"/>
        <w:jc w:val="left"/>
      </w:pPr>
      <w:r>
        <w:rPr>
          <w:rFonts w:eastAsia="等线" w:ascii="Arial" w:cs="Arial" w:hAnsi="Arial"/>
          <w:sz w:val="22"/>
        </w:rPr>
        <w:t>组合将宏观模型中的四大类资产，映射为10只可直接交易的ETF，并通过等权合成方式构建四大核心收益引擎，所有数据均来自天天基金接口的ETF累计净值，每日自动更新。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宏观大类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对应实盘ETF（代码）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引擎合成规则</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股票资产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沪深300ETF(510300)、中证1000ETF(512100)、创业板指ETF(159915)、恒生科技ETF(513010)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4只ETF</w:t>
            </w:r>
            <w:r>
              <w:rPr>
                <w:rFonts w:eastAsia="等线" w:ascii="Arial" w:cs="Arial" w:hAnsi="Arial"/>
                <w:b w:val="true"/>
                <w:sz w:val="22"/>
              </w:rPr>
              <w:t>每日等权平均</w:t>
            </w:r>
            <w:r>
              <w:rPr>
                <w:rFonts w:eastAsia="等线" w:ascii="Arial" w:cs="Arial" w:hAnsi="Arial"/>
                <w:sz w:val="22"/>
              </w:rPr>
              <w:t>合成股票引擎收益率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商品资产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大成有色ETF(159980)、华安黄金ETF(518880)、建信能化ETF(159981)、华夏豆粕ETF(159985)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4只ETF</w:t>
            </w:r>
            <w:r>
              <w:rPr>
                <w:rFonts w:eastAsia="等线" w:ascii="Arial" w:cs="Arial" w:hAnsi="Arial"/>
                <w:b w:val="true"/>
                <w:sz w:val="22"/>
              </w:rPr>
              <w:t>每日等权平均</w:t>
            </w:r>
            <w:r>
              <w:rPr>
                <w:rFonts w:eastAsia="等线" w:ascii="Arial" w:cs="Arial" w:hAnsi="Arial"/>
                <w:sz w:val="22"/>
              </w:rPr>
              <w:t>合成商品引擎收益率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进攻型债券</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博时可转债ETF(511380)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直接取用单只ETF收益率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防御型债券（蓄水池）</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国开债ETF博时(159650)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直接取用单只ETF收益率，作为避险资金唯一承接方</w:t>
            </w:r>
          </w:p>
        </w:tc>
      </w:tr>
    </w:tbl>
    <w:p>
      <w:pPr>
        <w:spacing w:before="120" w:after="120" w:line="288" w:lineRule="auto"/>
        <w:ind w:left="0"/>
        <w:jc w:val="left"/>
      </w:pPr>
      <w:r>
        <w:rPr>
          <w:rFonts w:eastAsia="等线" w:ascii="Arial" w:cs="Arial" w:hAnsi="Arial"/>
          <w:sz w:val="22"/>
        </w:rPr>
        <w:t>注：在实盘追踪时由于资金量限制将国开债ETF博时(159650)替换成为中欧纯债LOF（166016）</w:t>
      </w:r>
    </w:p>
    <w:p>
      <w:pPr>
        <w:numPr>
          <w:numId w:val="15"/>
        </w:numPr>
        <w:spacing w:before="120" w:after="120" w:line="288" w:lineRule="auto"/>
        <w:ind w:left="0"/>
        <w:jc w:val="left"/>
      </w:pPr>
      <w:r>
        <w:rPr>
          <w:rFonts w:eastAsia="等线" w:ascii="Arial" w:cs="Arial" w:hAnsi="Arial"/>
          <w:color w:val="2ea121"/>
          <w:sz w:val="22"/>
        </w:rPr>
        <w:t>%%%想要了解更多关于可转债这类资产的信息？</w:t>
      </w:r>
    </w:p>
    <w:p>
      <w:pPr>
        <w:spacing w:before="120" w:after="120" w:line="288" w:lineRule="auto"/>
        <w:ind w:left="0"/>
        <w:jc w:val="left"/>
      </w:pPr>
      <w:r>
        <w:rPr>
          <w:rFonts w:eastAsia="等线" w:ascii="Arial" w:cs="Arial" w:hAnsi="Arial"/>
          <w:color w:val="2ea121"/>
          <w:sz w:val="22"/>
        </w:rPr>
        <w:t>可转债资产研究报告.docx</w:t>
      </w:r>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2. </w:t>
      </w:r>
      <w:r>
        <w:rPr>
          <w:rFonts w:eastAsia="等线" w:ascii="Arial" w:cs="Arial" w:hAnsi="Arial"/>
          <w:b w:val="true"/>
          <w:sz w:val="30"/>
        </w:rPr>
        <w:t>季度调仓与日度对齐</w:t>
      </w:r>
      <w:bookmarkEnd w:id="22"/>
    </w:p>
    <w:p>
      <w:pPr>
        <w:spacing w:before="120" w:after="120" w:line="288" w:lineRule="auto"/>
        <w:ind w:left="0"/>
        <w:jc w:val="left"/>
      </w:pPr>
      <w:r>
        <w:rPr>
          <w:rFonts w:eastAsia="等线" w:ascii="Arial" w:cs="Arial" w:hAnsi="Arial"/>
          <w:sz w:val="22"/>
        </w:rPr>
        <w:t>组合的核心资产配置比例由普林格宏观周期模型驱动，采用</w:t>
      </w:r>
      <w:r>
        <w:rPr>
          <w:rFonts w:eastAsia="等线" w:ascii="Arial" w:cs="Arial" w:hAnsi="Arial"/>
          <w:b w:val="true"/>
          <w:sz w:val="22"/>
        </w:rPr>
        <w:t>季度定调、日度对齐</w:t>
      </w:r>
      <w:r>
        <w:rPr>
          <w:rFonts w:eastAsia="等线" w:ascii="Arial" w:cs="Arial" w:hAnsi="Arial"/>
          <w:sz w:val="22"/>
        </w:rPr>
        <w:t>的执行方式，严格遵循预设调仓规则。</w:t>
      </w:r>
    </w:p>
    <w:p>
      <w:pPr>
        <w:pStyle w:val="4"/>
        <w:spacing w:before="260" w:after="120" w:line="288" w:lineRule="auto"/>
        <w:ind w:left="0"/>
        <w:jc w:val="left"/>
        <w:outlineLvl w:val="3"/>
      </w:pPr>
      <w:bookmarkStart w:name="heading_23" w:id="23"/>
      <w:r>
        <w:rPr>
          <w:rFonts w:eastAsia="等线" w:ascii="Arial" w:cs="Arial" w:hAnsi="Arial"/>
          <w:b w:val="true"/>
          <w:sz w:val="28"/>
        </w:rPr>
        <w:t>季度调仓触发与执行</w:t>
      </w:r>
      <w:bookmarkEnd w:id="23"/>
    </w:p>
    <w:p>
      <w:pPr>
        <w:numPr>
          <w:numId w:val="16"/>
        </w:numPr>
        <w:spacing w:before="120" w:after="120" w:line="288" w:lineRule="auto"/>
        <w:ind w:left="0"/>
        <w:jc w:val="left"/>
      </w:pPr>
      <w:r>
        <w:rPr>
          <w:rFonts w:eastAsia="等线" w:ascii="Arial" w:cs="Arial" w:hAnsi="Arial"/>
          <w:b w:val="true"/>
          <w:sz w:val="22"/>
        </w:rPr>
        <w:t>调仓时点</w:t>
      </w:r>
      <w:r>
        <w:rPr>
          <w:rFonts w:eastAsia="等线" w:ascii="Arial" w:cs="Arial" w:hAnsi="Arial"/>
          <w:sz w:val="22"/>
        </w:rPr>
        <w:t>：固定在每年3月31日、6月30日、9月30日、12月31日收盘后执行</w:t>
      </w:r>
    </w:p>
    <w:p>
      <w:pPr>
        <w:numPr>
          <w:numId w:val="17"/>
        </w:numPr>
        <w:spacing w:before="120" w:after="120" w:line="288" w:lineRule="auto"/>
        <w:ind w:left="0"/>
        <w:jc w:val="left"/>
      </w:pPr>
      <w:r>
        <w:rPr>
          <w:rFonts w:eastAsia="等线" w:ascii="Arial" w:cs="Arial" w:hAnsi="Arial"/>
          <w:b w:val="true"/>
          <w:sz w:val="22"/>
        </w:rPr>
        <w:t>调仓依据</w:t>
      </w:r>
      <w:r>
        <w:rPr>
          <w:rFonts w:eastAsia="等线" w:ascii="Arial" w:cs="Arial" w:hAnsi="Arial"/>
          <w:sz w:val="22"/>
        </w:rPr>
        <w:t>：每个季度对所处阶段进行一次判断：</w:t>
      </w:r>
    </w:p>
    <w:p>
      <w:pPr>
        <w:numPr>
          <w:numId w:val="18"/>
        </w:numPr>
        <w:spacing w:before="120" w:after="120" w:line="288" w:lineRule="auto"/>
        <w:ind w:left="0"/>
        <w:jc w:val="left"/>
      </w:pPr>
      <w:r>
        <w:rPr>
          <w:rFonts w:eastAsia="等线" w:ascii="Arial" w:cs="Arial" w:hAnsi="Arial"/>
          <w:sz w:val="22"/>
        </w:rPr>
        <w:t>Stage 1（经济下行、通胀回落、货币宽松启动，G≤0、I≤0、M≤0）：重仓可转债资产</w:t>
      </w:r>
    </w:p>
    <w:p>
      <w:pPr>
        <w:numPr>
          <w:numId w:val="19"/>
        </w:numPr>
        <w:spacing w:before="120" w:after="120" w:line="288" w:lineRule="auto"/>
        <w:ind w:left="0"/>
        <w:jc w:val="left"/>
      </w:pPr>
      <w:r>
        <w:rPr>
          <w:rFonts w:eastAsia="等线" w:ascii="Arial" w:cs="Arial" w:hAnsi="Arial"/>
          <w:sz w:val="22"/>
        </w:rPr>
        <w:t>Stage 2（经济上行、通胀回落、货币宽松延续，G&gt;0、I≤0、M≤0）：重仓股票类资产</w:t>
      </w:r>
    </w:p>
    <w:p>
      <w:pPr>
        <w:numPr>
          <w:numId w:val="20"/>
        </w:numPr>
        <w:spacing w:before="120" w:after="120" w:line="288" w:lineRule="auto"/>
        <w:ind w:left="0"/>
        <w:jc w:val="left"/>
      </w:pPr>
      <w:r>
        <w:rPr>
          <w:rFonts w:eastAsia="等线" w:ascii="Arial" w:cs="Arial" w:hAnsi="Arial"/>
          <w:sz w:val="22"/>
        </w:rPr>
        <w:t>Stage 3（经济上行、通胀抬升、货币宽松末期，G&gt;0、I&gt;0、M≤0）：重仓股票类资产</w:t>
      </w:r>
    </w:p>
    <w:p>
      <w:pPr>
        <w:numPr>
          <w:numId w:val="21"/>
        </w:numPr>
        <w:spacing w:before="120" w:after="120" w:line="288" w:lineRule="auto"/>
        <w:ind w:left="0"/>
        <w:jc w:val="left"/>
      </w:pPr>
      <w:r>
        <w:rPr>
          <w:rFonts w:eastAsia="等线" w:ascii="Arial" w:cs="Arial" w:hAnsi="Arial"/>
          <w:sz w:val="22"/>
        </w:rPr>
        <w:t>Stage 4（经济上行、通胀抬升、货币紧缩启动，G&gt;0、I&gt;0、M&gt;0）：重仓商品类资产</w:t>
      </w:r>
    </w:p>
    <w:p>
      <w:pPr>
        <w:numPr>
          <w:numId w:val="22"/>
        </w:numPr>
        <w:spacing w:before="120" w:after="120" w:line="288" w:lineRule="auto"/>
        <w:ind w:left="0"/>
        <w:jc w:val="left"/>
      </w:pPr>
      <w:r>
        <w:rPr>
          <w:rFonts w:eastAsia="等线" w:ascii="Arial" w:cs="Arial" w:hAnsi="Arial"/>
          <w:sz w:val="22"/>
        </w:rPr>
        <w:t>Stage 5（经济下行、通胀抬升、货币紧缩延续，G≤0、I&gt;0、M&gt;0）：重仓可转债资产</w:t>
      </w:r>
    </w:p>
    <w:p>
      <w:pPr>
        <w:numPr>
          <w:numId w:val="23"/>
        </w:numPr>
        <w:spacing w:before="120" w:after="120" w:line="288" w:lineRule="auto"/>
        <w:ind w:left="0"/>
        <w:jc w:val="left"/>
      </w:pPr>
      <w:r>
        <w:rPr>
          <w:rFonts w:eastAsia="等线" w:ascii="Arial" w:cs="Arial" w:hAnsi="Arial"/>
          <w:sz w:val="22"/>
        </w:rPr>
        <w:t>Stage 6（经济下行、通胀回落、货币紧缩末期，G≤0、I≤0、M&gt;0）：重仓可转债资产</w:t>
      </w:r>
    </w:p>
    <w:p>
      <w:pPr>
        <w:spacing w:before="120" w:after="120" w:line="288" w:lineRule="auto"/>
        <w:ind w:left="0"/>
        <w:jc w:val="left"/>
      </w:pPr>
      <w:r>
        <w:rPr>
          <w:rFonts w:eastAsia="等线" w:ascii="Arial" w:cs="Arial" w:hAnsi="Arial"/>
          <w:sz w:val="22"/>
        </w:rPr>
        <w:t xml:space="preserve">注：M代表利率方向，所以 </w:t>
      </w:r>
      <w:r>
        <w:rPr>
          <w:rFonts w:eastAsia="Consolas" w:ascii="Consolas" w:cs="Consolas" w:hAnsi="Consolas"/>
          <w:sz w:val="22"/>
          <w:shd w:fill="EFF0F1"/>
        </w:rPr>
        <w:t>m &lt;= 0</w:t>
      </w:r>
      <w:r>
        <w:rPr>
          <w:rFonts w:eastAsia="等线" w:ascii="Arial" w:cs="Arial" w:hAnsi="Arial"/>
          <w:sz w:val="22"/>
        </w:rPr>
        <w:t xml:space="preserve"> 代表宽松，</w:t>
      </w:r>
      <w:r>
        <w:rPr>
          <w:rFonts w:eastAsia="Consolas" w:ascii="Consolas" w:cs="Consolas" w:hAnsi="Consolas"/>
          <w:sz w:val="22"/>
          <w:shd w:fill="EFF0F1"/>
        </w:rPr>
        <w:t>m &gt; 0</w:t>
      </w:r>
      <w:r>
        <w:rPr>
          <w:rFonts w:eastAsia="等线" w:ascii="Arial" w:cs="Arial" w:hAnsi="Arial"/>
          <w:sz w:val="22"/>
        </w:rPr>
        <w:t xml:space="preserve"> 代表紧缩。</w:t>
      </w:r>
    </w:p>
    <w:p>
      <w:pPr>
        <w:numPr>
          <w:numId w:val="24"/>
        </w:numPr>
        <w:spacing w:before="120" w:after="120" w:line="288" w:lineRule="auto"/>
        <w:ind w:left="0"/>
        <w:jc w:val="left"/>
      </w:pPr>
      <w:r>
        <w:rPr>
          <w:rFonts w:eastAsia="等线" w:ascii="Arial" w:cs="Arial" w:hAnsi="Arial"/>
          <w:b w:val="true"/>
          <w:sz w:val="22"/>
        </w:rPr>
        <w:t>异常处理</w:t>
      </w:r>
      <w:r>
        <w:rPr>
          <w:rFonts w:eastAsia="等线" w:ascii="Arial" w:cs="Arial" w:hAnsi="Arial"/>
          <w:sz w:val="22"/>
        </w:rPr>
        <w:t>：若季度末无法判定宏观象限（标注“象限判断缺失”），则</w:t>
      </w:r>
      <w:r>
        <w:rPr>
          <w:rFonts w:eastAsia="等线" w:ascii="Arial" w:cs="Arial" w:hAnsi="Arial"/>
          <w:b w:val="true"/>
          <w:sz w:val="22"/>
        </w:rPr>
        <w:t>完全保持上一季度的权重不变</w:t>
      </w:r>
      <w:r>
        <w:rPr>
          <w:rFonts w:eastAsia="等线" w:ascii="Arial" w:cs="Arial" w:hAnsi="Arial"/>
          <w:sz w:val="22"/>
        </w:rPr>
        <w:t>，不做任何调整</w:t>
      </w:r>
    </w:p>
    <w:p>
      <w:pPr>
        <w:pStyle w:val="4"/>
        <w:spacing w:before="260" w:after="120" w:line="288" w:lineRule="auto"/>
        <w:ind w:left="0"/>
        <w:jc w:val="left"/>
        <w:outlineLvl w:val="3"/>
      </w:pPr>
      <w:bookmarkStart w:name="heading_24" w:id="24"/>
      <w:r>
        <w:rPr>
          <w:rFonts w:eastAsia="等线" w:ascii="Arial" w:cs="Arial" w:hAnsi="Arial"/>
          <w:b w:val="true"/>
          <w:sz w:val="28"/>
        </w:rPr>
        <w:t>日度权重对齐</w:t>
      </w:r>
      <w:bookmarkEnd w:id="24"/>
    </w:p>
    <w:p>
      <w:pPr>
        <w:spacing w:before="120" w:after="120" w:line="288" w:lineRule="auto"/>
        <w:ind w:left="0"/>
        <w:jc w:val="left"/>
      </w:pPr>
      <w:r>
        <w:rPr>
          <w:rFonts w:eastAsia="等线" w:ascii="Arial" w:cs="Arial" w:hAnsi="Arial"/>
          <w:sz w:val="22"/>
        </w:rPr>
        <w:t>为实现每日精准调仓，代码会将季度末确定的权重</w:t>
      </w:r>
      <w:r>
        <w:rPr>
          <w:rFonts w:eastAsia="等线" w:ascii="Arial" w:cs="Arial" w:hAnsi="Arial"/>
          <w:b w:val="true"/>
          <w:sz w:val="22"/>
        </w:rPr>
        <w:t>前向填充至所有交易日</w:t>
      </w:r>
      <w:r>
        <w:rPr>
          <w:rFonts w:eastAsia="等线" w:ascii="Arial" w:cs="Arial" w:hAnsi="Arial"/>
          <w:sz w:val="22"/>
        </w:rPr>
        <w:t>，即：</w:t>
      </w:r>
    </w:p>
    <w:p>
      <w:pPr>
        <w:numPr>
          <w:numId w:val="25"/>
        </w:numPr>
        <w:spacing w:before="120" w:after="120" w:line="288" w:lineRule="auto"/>
        <w:ind w:left="0"/>
        <w:jc w:val="left"/>
      </w:pPr>
      <w:r>
        <w:rPr>
          <w:rFonts w:eastAsia="等线" w:ascii="Arial" w:cs="Arial" w:hAnsi="Arial"/>
          <w:sz w:val="22"/>
        </w:rPr>
        <w:t>两个季度调仓日之间的所有交易日，均使用上一季度末确定的大类权重</w:t>
      </w:r>
    </w:p>
    <w:p>
      <w:pPr>
        <w:numPr>
          <w:numId w:val="26"/>
        </w:numPr>
        <w:spacing w:before="120" w:after="120" w:line="288" w:lineRule="auto"/>
        <w:ind w:left="0"/>
        <w:jc w:val="left"/>
      </w:pPr>
      <w:r>
        <w:rPr>
          <w:rFonts w:eastAsia="等线" w:ascii="Arial" w:cs="Arial" w:hAnsi="Arial"/>
          <w:sz w:val="22"/>
        </w:rPr>
        <w:t>每日开盘前，系统自动获取当日对应的预配置权重，作为当日仓位计算的基础</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3. </w:t>
      </w:r>
      <w:r>
        <w:rPr>
          <w:rFonts w:eastAsia="等线" w:ascii="Arial" w:cs="Arial" w:hAnsi="Arial"/>
          <w:b w:val="true"/>
          <w:sz w:val="30"/>
        </w:rPr>
        <w:t>核心风控：MA20定向避险机制</w:t>
      </w:r>
      <w:bookmarkEnd w:id="25"/>
    </w:p>
    <w:p>
      <w:pPr>
        <w:spacing w:before="120" w:after="120" w:line="288" w:lineRule="auto"/>
        <w:ind w:left="0"/>
        <w:jc w:val="left"/>
      </w:pPr>
      <w:r>
        <w:rPr>
          <w:rFonts w:eastAsia="等线" w:ascii="Arial" w:cs="Arial" w:hAnsi="Arial"/>
          <w:sz w:val="22"/>
        </w:rPr>
        <w:t>实盘组合在宏观配置的基础上，增加了</w:t>
      </w:r>
      <w:r>
        <w:rPr>
          <w:rFonts w:eastAsia="等线" w:ascii="Arial" w:cs="Arial" w:hAnsi="Arial"/>
          <w:b w:val="true"/>
          <w:sz w:val="22"/>
        </w:rPr>
        <w:t>仅对重仓资产生效</w:t>
      </w:r>
      <w:r>
        <w:rPr>
          <w:rFonts w:eastAsia="等线" w:ascii="Arial" w:cs="Arial" w:hAnsi="Arial"/>
          <w:sz w:val="22"/>
        </w:rPr>
        <w:t>的MA20避险规则，这是与传统普林格模型的核心差异之一，所有判定均严格避免使用未来数据。</w:t>
      </w:r>
    </w:p>
    <w:p>
      <w:pPr>
        <w:pStyle w:val="4"/>
        <w:spacing w:before="260" w:after="120" w:line="288" w:lineRule="auto"/>
        <w:ind w:left="0"/>
        <w:jc w:val="left"/>
        <w:outlineLvl w:val="3"/>
      </w:pPr>
      <w:bookmarkStart w:name="heading_26" w:id="26"/>
      <w:r>
        <w:rPr>
          <w:rFonts w:eastAsia="等线" w:ascii="Arial" w:cs="Arial" w:hAnsi="Arial"/>
          <w:b w:val="true"/>
          <w:sz w:val="28"/>
        </w:rPr>
        <w:t>避险触发前提</w:t>
      </w:r>
      <w:bookmarkEnd w:id="26"/>
    </w:p>
    <w:p>
      <w:pPr>
        <w:spacing w:before="120" w:after="120" w:line="288" w:lineRule="auto"/>
        <w:ind w:left="0"/>
        <w:jc w:val="left"/>
      </w:pPr>
      <w:r>
        <w:rPr>
          <w:rFonts w:eastAsia="等线" w:ascii="Arial" w:cs="Arial" w:hAnsi="Arial"/>
          <w:sz w:val="22"/>
        </w:rPr>
        <w:t>仅当某类风险资产的当日宏观配置权重=70%时，才启动该资产的避险侦测；非重仓状态下，不执行任何避险操作，完全按照宏观权重持有。</w:t>
      </w:r>
    </w:p>
    <w:p>
      <w:pPr>
        <w:pStyle w:val="4"/>
        <w:spacing w:before="260" w:after="120" w:line="288" w:lineRule="auto"/>
        <w:ind w:left="0"/>
        <w:jc w:val="left"/>
        <w:outlineLvl w:val="3"/>
      </w:pPr>
      <w:bookmarkStart w:name="heading_27" w:id="27"/>
      <w:r>
        <w:rPr>
          <w:rFonts w:eastAsia="等线" w:ascii="Arial" w:cs="Arial" w:hAnsi="Arial"/>
          <w:b w:val="true"/>
          <w:sz w:val="28"/>
        </w:rPr>
        <w:t>避险判定规则</w:t>
      </w:r>
      <w:bookmarkEnd w:id="27"/>
    </w:p>
    <w:p>
      <w:pPr>
        <w:spacing w:before="120" w:after="120" w:line="288" w:lineRule="auto"/>
        <w:ind w:left="0"/>
        <w:jc w:val="left"/>
      </w:pPr>
      <w:r>
        <w:rPr>
          <w:rFonts w:eastAsia="等线" w:ascii="Arial" w:cs="Arial" w:hAnsi="Arial"/>
          <w:sz w:val="22"/>
        </w:rPr>
        <w:t>每日收盘后执行以下计算，结果作为下一交易日的调仓依据：</w:t>
      </w:r>
    </w:p>
    <w:p>
      <w:pPr>
        <w:numPr>
          <w:numId w:val="27"/>
        </w:numPr>
        <w:spacing w:before="120" w:after="120" w:line="288" w:lineRule="auto"/>
        <w:ind w:left="0"/>
        <w:jc w:val="left"/>
      </w:pPr>
      <w:r>
        <w:rPr>
          <w:rFonts w:eastAsia="等线" w:ascii="Arial" w:cs="Arial" w:hAnsi="Arial"/>
          <w:sz w:val="22"/>
        </w:rPr>
        <w:t>分别计算股票引擎、商品引擎的</w:t>
      </w:r>
      <w:r>
        <w:rPr>
          <w:rFonts w:eastAsia="等线" w:ascii="Arial" w:cs="Arial" w:hAnsi="Arial"/>
          <w:b w:val="true"/>
          <w:sz w:val="22"/>
        </w:rPr>
        <w:t>累计净值序列</w:t>
      </w:r>
      <w:r>
        <w:rPr>
          <w:rFonts w:eastAsia="等线" w:ascii="Arial" w:cs="Arial" w:hAnsi="Arial"/>
          <w:sz w:val="22"/>
        </w:rPr>
        <w:t>（自回测起始日起的复利净值）</w:t>
      </w:r>
    </w:p>
    <w:p>
      <w:pPr>
        <w:numPr>
          <w:numId w:val="28"/>
        </w:numPr>
        <w:spacing w:before="120" w:after="120" w:line="288" w:lineRule="auto"/>
        <w:ind w:left="0"/>
        <w:jc w:val="left"/>
      </w:pPr>
      <w:r>
        <w:rPr>
          <w:rFonts w:eastAsia="等线" w:ascii="Arial" w:cs="Arial" w:hAnsi="Arial"/>
          <w:sz w:val="22"/>
        </w:rPr>
        <w:t>计算两个引擎累计净值的</w:t>
      </w:r>
      <w:r>
        <w:rPr>
          <w:rFonts w:eastAsia="等线" w:ascii="Arial" w:cs="Arial" w:hAnsi="Arial"/>
          <w:b w:val="true"/>
          <w:sz w:val="22"/>
        </w:rPr>
        <w:t>20日简单移动平均线（MA20）</w:t>
      </w:r>
    </w:p>
    <w:p>
      <w:pPr>
        <w:numPr>
          <w:numId w:val="29"/>
        </w:numPr>
        <w:spacing w:before="120" w:after="120" w:line="288" w:lineRule="auto"/>
        <w:ind w:left="0"/>
        <w:jc w:val="left"/>
      </w:pPr>
      <w:r>
        <w:rPr>
          <w:rFonts w:eastAsia="等线" w:ascii="Arial" w:cs="Arial" w:hAnsi="Arial"/>
          <w:sz w:val="22"/>
        </w:rPr>
        <w:t>对比</w:t>
      </w:r>
      <w:r>
        <w:rPr>
          <w:rFonts w:eastAsia="等线" w:ascii="Arial" w:cs="Arial" w:hAnsi="Arial"/>
          <w:b w:val="true"/>
          <w:sz w:val="22"/>
        </w:rPr>
        <w:t>前一交易日</w:t>
      </w:r>
      <w:r>
        <w:rPr>
          <w:rFonts w:eastAsia="等线" w:ascii="Arial" w:cs="Arial" w:hAnsi="Arial"/>
          <w:sz w:val="22"/>
        </w:rPr>
        <w:t>的累计净值与</w:t>
      </w:r>
      <w:r>
        <w:rPr>
          <w:rFonts w:eastAsia="等线" w:ascii="Arial" w:cs="Arial" w:hAnsi="Arial"/>
          <w:b w:val="true"/>
          <w:sz w:val="22"/>
        </w:rPr>
        <w:t>前一交易日</w:t>
      </w:r>
      <w:r>
        <w:rPr>
          <w:rFonts w:eastAsia="等线" w:ascii="Arial" w:cs="Arial" w:hAnsi="Arial"/>
          <w:sz w:val="22"/>
        </w:rPr>
        <w:t>的MA20：</w:t>
      </w:r>
    </w:p>
    <w:p>
      <w:pPr>
        <w:numPr>
          <w:numId w:val="30"/>
        </w:numPr>
        <w:spacing w:before="120" w:after="120" w:line="288" w:lineRule="auto"/>
        <w:ind w:left="453"/>
        <w:jc w:val="left"/>
      </w:pPr>
      <w:r>
        <w:rPr>
          <w:rFonts w:eastAsia="等线" w:ascii="Arial" w:cs="Arial" w:hAnsi="Arial"/>
          <w:sz w:val="22"/>
        </w:rPr>
        <w:t>若 前一日净值 ≥ 前一日MA20：不触发避险，保持原权重</w:t>
      </w:r>
    </w:p>
    <w:p>
      <w:pPr>
        <w:numPr>
          <w:numId w:val="31"/>
        </w:numPr>
        <w:spacing w:before="120" w:after="120" w:line="288" w:lineRule="auto"/>
        <w:ind w:left="453"/>
        <w:jc w:val="left"/>
      </w:pPr>
      <w:r>
        <w:rPr>
          <w:rFonts w:eastAsia="等线" w:ascii="Arial" w:cs="Arial" w:hAnsi="Arial"/>
          <w:sz w:val="22"/>
        </w:rPr>
        <w:t>若 前一日净值 &lt; 前一日MA20：触发全额避险，该资产仓位清零</w:t>
      </w:r>
    </w:p>
    <w:p>
      <w:pPr>
        <w:pStyle w:val="4"/>
        <w:spacing w:before="260" w:after="120" w:line="288" w:lineRule="auto"/>
        <w:ind w:left="0"/>
        <w:jc w:val="left"/>
        <w:outlineLvl w:val="3"/>
      </w:pPr>
      <w:bookmarkStart w:name="heading_28" w:id="28"/>
      <w:r>
        <w:rPr>
          <w:rFonts w:eastAsia="等线" w:ascii="Arial" w:cs="Arial" w:hAnsi="Arial"/>
          <w:b w:val="true"/>
          <w:sz w:val="28"/>
        </w:rPr>
        <w:t>避险资金流向</w:t>
      </w:r>
      <w:bookmarkEnd w:id="28"/>
    </w:p>
    <w:p>
      <w:pPr>
        <w:spacing w:before="120" w:after="120" w:line="288" w:lineRule="auto"/>
        <w:ind w:left="0"/>
        <w:jc w:val="left"/>
      </w:pPr>
      <w:r>
        <w:rPr>
          <w:rFonts w:eastAsia="等线" w:ascii="Arial" w:cs="Arial" w:hAnsi="Arial"/>
          <w:sz w:val="22"/>
        </w:rPr>
        <w:t>触发避险后，从股票/商品引擎转出的</w:t>
      </w:r>
      <w:r>
        <w:rPr>
          <w:rFonts w:eastAsia="等线" w:ascii="Arial" w:cs="Arial" w:hAnsi="Arial"/>
          <w:b w:val="true"/>
          <w:sz w:val="22"/>
        </w:rPr>
        <w:t>全部资金</w:t>
      </w:r>
      <w:r>
        <w:rPr>
          <w:rFonts w:eastAsia="等线" w:ascii="Arial" w:cs="Arial" w:hAnsi="Arial"/>
          <w:sz w:val="22"/>
        </w:rPr>
        <w:t>，一次性划入</w:t>
      </w:r>
      <w:r>
        <w:rPr>
          <w:rFonts w:eastAsia="等线" w:ascii="Arial" w:cs="Arial" w:hAnsi="Arial"/>
          <w:b w:val="true"/>
          <w:sz w:val="22"/>
        </w:rPr>
        <w:t>国开债ETF</w:t>
      </w:r>
      <w:r>
        <w:rPr>
          <w:rFonts w:eastAsia="等线" w:ascii="Arial" w:cs="Arial" w:hAnsi="Arial"/>
          <w:sz w:val="22"/>
        </w:rPr>
        <w:t>（防御蓄水池）；可转债ETF的仓位不受避险操作影响，保持基础分配比例不变。</w:t>
      </w:r>
    </w:p>
    <w:p>
      <w:pPr>
        <w:pStyle w:val="4"/>
        <w:spacing w:before="260" w:after="120" w:line="288" w:lineRule="auto"/>
        <w:ind w:left="0"/>
        <w:jc w:val="left"/>
        <w:outlineLvl w:val="3"/>
      </w:pPr>
      <w:bookmarkStart w:name="heading_29" w:id="29"/>
      <w:r>
        <w:rPr>
          <w:rFonts w:eastAsia="等线" w:ascii="Arial" w:cs="Arial" w:hAnsi="Arial"/>
          <w:b w:val="true"/>
          <w:sz w:val="28"/>
        </w:rPr>
        <w:t>避险解除规则</w:t>
      </w:r>
      <w:bookmarkEnd w:id="29"/>
    </w:p>
    <w:p>
      <w:pPr>
        <w:spacing w:before="120" w:after="120" w:line="288" w:lineRule="auto"/>
        <w:ind w:left="0"/>
        <w:jc w:val="left"/>
      </w:pPr>
      <w:r>
        <w:rPr>
          <w:rFonts w:eastAsia="等线" w:ascii="Arial" w:cs="Arial" w:hAnsi="Arial"/>
          <w:sz w:val="22"/>
        </w:rPr>
        <w:t>当避险资产的累计净值重新站上其MA20时，将国开债中对应的避险资金，全额转回原股票/商品引擎，恢复宏观配置权重。</w:t>
      </w:r>
    </w:p>
    <w:p>
      <w:pPr>
        <w:pStyle w:val="2"/>
        <w:spacing w:before="320" w:after="120" w:line="288" w:lineRule="auto"/>
        <w:ind w:left="0"/>
        <w:jc w:val="left"/>
        <w:outlineLvl w:val="1"/>
      </w:pPr>
      <w:bookmarkStart w:name="heading_30" w:id="30"/>
      <w:r>
        <w:rPr>
          <w:rFonts w:eastAsia="等线" w:ascii="Arial" w:cs="Arial" w:hAnsi="Arial"/>
          <w:b w:val="true"/>
          <w:sz w:val="32"/>
        </w:rPr>
        <w:t>新普林格模型的效果如何</w:t>
      </w:r>
      <w:bookmarkEnd w:id="30"/>
    </w:p>
    <w:p>
      <w:pPr>
        <w:pStyle w:val="3"/>
        <w:spacing w:before="300" w:after="120" w:line="288" w:lineRule="auto"/>
        <w:ind w:left="0"/>
        <w:jc w:val="left"/>
        <w:outlineLvl w:val="2"/>
      </w:pPr>
      <w:bookmarkStart w:name="heading_31" w:id="31"/>
      <w:r>
        <w:rPr>
          <w:rFonts w:eastAsia="等线" w:ascii="Arial" w:cs="Arial" w:hAnsi="Arial"/>
          <w:b w:val="true"/>
          <w:sz w:val="30"/>
        </w:rPr>
        <w:t>业绩概览</w:t>
      </w:r>
      <w:bookmarkEnd w:id="31"/>
    </w:p>
    <w:p>
      <w:pPr>
        <w:spacing w:before="120" w:after="120" w:line="288" w:lineRule="auto"/>
        <w:ind w:left="0"/>
        <w:jc w:val="left"/>
      </w:pPr>
      <w:r>
        <w:rPr>
          <w:rFonts w:eastAsia="等线" w:ascii="Arial" w:cs="Arial" w:hAnsi="Arial"/>
          <w:b w:val="true"/>
          <w:sz w:val="22"/>
        </w:rPr>
        <w:t>回测起始日：</w:t>
      </w:r>
    </w:p>
    <w:p>
      <w:pPr>
        <w:spacing w:before="120" w:after="120" w:line="288" w:lineRule="auto"/>
        <w:ind w:left="0"/>
        <w:jc w:val="left"/>
      </w:pPr>
      <w:r>
        <w:rPr>
          <w:rFonts w:eastAsia="等线" w:ascii="Arial" w:cs="Arial" w:hAnsi="Arial"/>
          <w:sz w:val="22"/>
        </w:rPr>
        <w:t>2021-05-25 （10个ETF的最晚成立日）</w:t>
      </w:r>
    </w:p>
    <w:p>
      <w:pPr>
        <w:spacing w:before="120" w:after="120" w:line="288" w:lineRule="auto"/>
        <w:ind w:left="0"/>
        <w:jc w:val="left"/>
      </w:pPr>
      <w:r>
        <w:rPr>
          <w:rFonts w:eastAsia="等线" w:ascii="Arial" w:cs="Arial" w:hAnsi="Arial"/>
          <w:b w:val="true"/>
          <w:sz w:val="22"/>
        </w:rPr>
        <w:t>回测结果：</w:t>
      </w:r>
    </w:p>
    <w:p>
      <w:pPr>
        <w:spacing w:before="120" w:after="120" w:line="288" w:lineRule="auto"/>
        <w:ind w:left="0"/>
      </w:pPr>
      <w:r>
        <w:object>
          <v:shape id="_x0000_i1026" style="width:414pt;height:77pt;mso-width-percent:0;mso-height-percent:0;mso-width-percent:0;mso-height-percent:0" type="#_x0000_t75" o:ole="">
            <v:imagedata r:id="rId16" o:title=""/>
          </v:shape>
          <o:OLEObject DrawAspect="Icon" ObjectID="_1718471220" ProgID="Excel.Sheet.12" ShapeID="_x0000_i1026" Type="Embed" r:id="rId1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回测曲线及仓位：</w:t>
      </w:r>
    </w:p>
    <w:p>
      <w:pPr>
        <w:spacing w:before="120" w:after="120" w:line="288" w:lineRule="auto"/>
        <w:ind w:left="0"/>
        <w:jc w:val="center"/>
      </w:pPr>
      <w:r>
        <w:drawing>
          <wp:inline distT="0" distR="0" distB="0" distL="0">
            <wp:extent cx="5257800" cy="59150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7"/>
                    <a:stretch>
                      <a:fillRect/>
                    </a:stretch>
                  </pic:blipFill>
                  <pic:spPr>
                    <a:xfrm>
                      <a:off x="0" y="0"/>
                      <a:ext cx="5257800" cy="5915025"/>
                    </a:xfrm>
                    <a:prstGeom prst="rect">
                      <a:avLst/>
                    </a:prstGeom>
                  </pic:spPr>
                </pic:pic>
              </a:graphicData>
            </a:graphic>
          </wp:inline>
        </w:drawing>
      </w:r>
    </w:p>
    <w:p>
      <w:pPr>
        <w:spacing w:before="120" w:after="120" w:line="288" w:lineRule="auto"/>
        <w:ind w:left="0"/>
        <w:jc w:val="center"/>
      </w:pPr>
      <w:r>
        <w:drawing>
          <wp:inline distT="0" distR="0" distB="0" distL="0">
            <wp:extent cx="5257800" cy="22669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8"/>
                    <a:stretch>
                      <a:fillRect/>
                    </a:stretch>
                  </pic:blipFill>
                  <pic:spPr>
                    <a:xfrm>
                      <a:off x="0" y="0"/>
                      <a:ext cx="5257800" cy="2266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回测结果显示，普林格新四核轮动模型业绩表现显著优异，不仅全面跑赢大盘基准沪深300ETF，风险控制能力同样突出。在2024年初、年末两轮市场深度回撤中，模型均实现精准止损，且在后续市场修复阶段快速同步反弹。</w:t>
      </w:r>
    </w:p>
    <w:p>
      <w:pPr>
        <w:pStyle w:val="3"/>
        <w:spacing w:before="300" w:after="120" w:line="288" w:lineRule="auto"/>
        <w:ind w:left="0"/>
        <w:jc w:val="left"/>
        <w:outlineLvl w:val="2"/>
      </w:pPr>
      <w:bookmarkStart w:name="heading_32" w:id="32"/>
      <w:r>
        <w:rPr>
          <w:rFonts w:eastAsia="等线" w:ascii="Arial" w:cs="Arial" w:hAnsi="Arial"/>
          <w:b w:val="true"/>
          <w:sz w:val="30"/>
        </w:rPr>
        <w:t>归因分析</w:t>
      </w:r>
      <w:bookmarkEnd w:id="32"/>
    </w:p>
    <w:p>
      <w:pPr>
        <w:pStyle w:val="4"/>
        <w:spacing w:before="260" w:after="120" w:line="288" w:lineRule="auto"/>
        <w:ind w:left="0"/>
        <w:jc w:val="left"/>
        <w:outlineLvl w:val="3"/>
      </w:pPr>
      <w:bookmarkStart w:name="heading_33" w:id="33"/>
      <w:r>
        <w:rPr>
          <w:rFonts w:eastAsia="等线" w:ascii="Arial" w:cs="Arial" w:hAnsi="Arial"/>
          <w:b w:val="true"/>
          <w:sz w:val="28"/>
        </w:rPr>
        <w:t>收益率归因</w:t>
      </w:r>
      <w:bookmarkEnd w:id="33"/>
    </w:p>
    <w:p>
      <w:pPr>
        <w:spacing w:before="120" w:after="120" w:line="288" w:lineRule="auto"/>
        <w:ind w:left="0"/>
        <w:jc w:val="center"/>
      </w:pPr>
      <w:r>
        <w:drawing>
          <wp:inline distT="0" distR="0" distB="0" distL="0">
            <wp:extent cx="5257800" cy="46291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9"/>
                    <a:stretch>
                      <a:fillRect/>
                    </a:stretch>
                  </pic:blipFill>
                  <pic:spPr>
                    <a:xfrm>
                      <a:off x="0" y="0"/>
                      <a:ext cx="5257800" cy="4629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从单年度收益表现来看，股票、商品、可转债三类资产交替贡献收益：2021—2022年商品端为收益主力，2024—2025年股票端收益表现突出，2025—2026年可转债收益贡献显著。</w:t>
      </w:r>
    </w:p>
    <w:p>
      <w:pPr>
        <w:spacing w:before="120" w:after="120" w:line="288" w:lineRule="auto"/>
        <w:ind w:left="0"/>
        <w:jc w:val="left"/>
      </w:pPr>
      <w:r>
        <w:rPr>
          <w:rFonts w:eastAsia="等线" w:ascii="Arial" w:cs="Arial" w:hAnsi="Arial"/>
          <w:sz w:val="22"/>
        </w:rPr>
        <w:t>注：2021年避险端国开债收益为负，主要系当时选用LOF产品所致，仅产生短期扰动，对长期收益影响有限。资金规模充足时，替换为博时国开债ETF（159650）可提升收益稳定性。</w:t>
      </w:r>
    </w:p>
    <w:p>
      <w:pPr>
        <w:pStyle w:val="4"/>
        <w:spacing w:before="260" w:after="120" w:line="288" w:lineRule="auto"/>
        <w:ind w:left="0"/>
        <w:jc w:val="left"/>
        <w:outlineLvl w:val="3"/>
      </w:pPr>
      <w:bookmarkStart w:name="heading_34" w:id="34"/>
      <w:r>
        <w:rPr>
          <w:rFonts w:eastAsia="等线" w:ascii="Arial" w:cs="Arial" w:hAnsi="Arial"/>
          <w:b w:val="true"/>
          <w:sz w:val="28"/>
        </w:rPr>
        <w:t>资产类型贡献归因</w:t>
      </w:r>
      <w:bookmarkEnd w:id="34"/>
    </w:p>
    <w:p>
      <w:pPr>
        <w:spacing w:before="120" w:after="120" w:line="288" w:lineRule="auto"/>
        <w:ind w:left="0"/>
        <w:jc w:val="left"/>
      </w:pPr>
      <w:r>
        <w:rPr>
          <w:rFonts w:eastAsia="等线" w:ascii="Arial" w:cs="Arial" w:hAnsi="Arial"/>
          <w:b w:val="true"/>
          <w:sz w:val="22"/>
        </w:rPr>
        <w:t>四类资产绝对贡献变化图：</w:t>
      </w:r>
    </w:p>
    <w:p>
      <w:pPr>
        <w:spacing w:before="120" w:after="120" w:line="288" w:lineRule="auto"/>
        <w:ind w:left="0"/>
        <w:jc w:val="center"/>
      </w:pPr>
      <w:r>
        <w:drawing>
          <wp:inline distT="0" distR="0" distB="0" distL="0">
            <wp:extent cx="5257800" cy="26003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0"/>
                    <a:stretch>
                      <a:fillRect/>
                    </a:stretch>
                  </pic:blipFill>
                  <pic:spPr>
                    <a:xfrm>
                      <a:off x="0" y="0"/>
                      <a:ext cx="5257800" cy="26003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最终情况：</w:t>
      </w:r>
    </w:p>
    <w:p>
      <w:pPr>
        <w:spacing w:before="120" w:after="120" w:line="288" w:lineRule="auto"/>
        <w:ind w:left="0"/>
      </w:pPr>
      <w:r>
        <w:object>
          <v:shape id="_x0000_i1027" style="width:414pt;height:90pt;mso-width-percent:0;mso-height-percent:0;mso-width-percent:0;mso-height-percent:0" type="#_x0000_t75" o:ole="">
            <v:imagedata r:id="rId22" o:title=""/>
          </v:shape>
          <o:OLEObject DrawAspect="Icon" ObjectID="_1718471221" ProgID="Excel.Sheet.12" ShapeID="_x0000_i1027" Type="Embed" r:id="rId2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四类资产相对变化贡献图：</w:t>
      </w:r>
    </w:p>
    <w:p>
      <w:pPr>
        <w:spacing w:before="120" w:after="120" w:line="288" w:lineRule="auto"/>
        <w:ind w:left="0"/>
        <w:jc w:val="center"/>
      </w:pPr>
      <w:r>
        <w:drawing>
          <wp:inline distT="0" distR="0" distB="0" distL="0">
            <wp:extent cx="5257800" cy="44291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3"/>
                    <a:stretch>
                      <a:fillRect/>
                    </a:stretch>
                  </pic:blipFill>
                  <pic:spPr>
                    <a:xfrm>
                      <a:off x="0" y="0"/>
                      <a:ext cx="5257800" cy="44291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最终情况：</w:t>
      </w:r>
    </w:p>
    <w:p>
      <w:pPr>
        <w:spacing w:before="120" w:after="120" w:line="288" w:lineRule="auto"/>
        <w:ind w:left="0"/>
      </w:pPr>
      <w:r>
        <w:object>
          <v:shape id="_x0000_i1028" style="width:414pt;height:104pt;mso-width-percent:0;mso-height-percent:0;mso-width-percent:0;mso-height-percent:0" type="#_x0000_t75" o:ole="">
            <v:imagedata r:id="rId25" o:title=""/>
          </v:shape>
          <o:OLEObject DrawAspect="Icon" ObjectID="_1718471222" ProgID="Excel.Sheet.12" ShapeID="_x0000_i1028" Type="Embed" r:id="rId2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结论：</w:t>
      </w:r>
    </w:p>
    <w:p>
      <w:pPr>
        <w:spacing w:before="120" w:after="120" w:line="288" w:lineRule="auto"/>
        <w:ind w:left="0"/>
        <w:jc w:val="left"/>
      </w:pPr>
      <w:r>
        <w:rPr>
          <w:rFonts w:eastAsia="等线" w:ascii="Arial" w:cs="Arial" w:hAnsi="Arial"/>
          <w:sz w:val="22"/>
        </w:rPr>
        <w:t>静态维度上，股票与商品双引擎合计贡献 68.5% 的利润（对应绝对拉动合计 59.4%），是组合收益的核心来源，可转债与纯债基则以合计 31.5% 的贡献形成稳定收益垫；动态维度上，收益贡献呈现明确的阶段切换规律：2021-2024 年商品引擎主导收益，贡献占比长期处于高位，2024 年四季度起股票引擎贡献快速抬升，成为后期收益的主要拉动力量，与宏观周期阶段的资产配置逻辑高度匹配；同时，可转债全程提供稳定收益支撑，纯债基在避险阶段承接资金，体现了策略防守底座的功能，整体收益结构既验证了股商双引擎以较低资金占用撬动超额利润的高资金效率，也凸显了固收类资产的风险缓冲作用，实现了进攻与防守的动态平衡。</w:t>
      </w:r>
    </w:p>
    <w:p>
      <w:pPr>
        <w:pStyle w:val="4"/>
        <w:spacing w:before="260" w:after="120" w:line="288" w:lineRule="auto"/>
        <w:ind w:left="0"/>
        <w:jc w:val="left"/>
        <w:outlineLvl w:val="3"/>
      </w:pPr>
      <w:bookmarkStart w:name="heading_35" w:id="35"/>
      <w:r>
        <w:rPr>
          <w:rFonts w:eastAsia="等线" w:ascii="Arial" w:cs="Arial" w:hAnsi="Arial"/>
          <w:b w:val="true"/>
          <w:sz w:val="28"/>
        </w:rPr>
        <w:t>投资回报率（ROI）归因</w:t>
      </w:r>
      <w:bookmarkEnd w:id="35"/>
    </w:p>
    <w:p>
      <w:pPr>
        <w:spacing w:before="120" w:after="120" w:line="288" w:lineRule="auto"/>
        <w:ind w:left="0"/>
        <w:jc w:val="center"/>
      </w:pPr>
      <w:r>
        <w:drawing>
          <wp:inline distT="0" distR="0" distB="0" distL="0">
            <wp:extent cx="5257800" cy="25908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6"/>
                    <a:stretch>
                      <a:fillRect/>
                    </a:stretch>
                  </pic:blipFill>
                  <pic:spPr>
                    <a:xfrm>
                      <a:off x="0" y="0"/>
                      <a:ext cx="5257800" cy="2590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在这部分引入“资金效率倍数（Capital Efficiency Multiple）”这一核心诊断指标，用来计算资产的「利润贡献份额」与「时间加权资金占用份额」之比。</w:t>
      </w:r>
    </w:p>
    <w:p>
      <w:pPr>
        <w:spacing w:before="120" w:after="120" w:line="288" w:lineRule="auto"/>
        <w:ind w:left="0"/>
        <w:jc w:val="left"/>
      </w:pPr>
      <w:r>
        <w:rPr>
          <w:rFonts w:eastAsia="等线" w:ascii="Arial" w:cs="Arial" w:hAnsi="Arial"/>
          <w:sz w:val="22"/>
        </w:rPr>
        <w:t>资金效率倍数 &gt; 1.0x：表征该资产具备正向的收益非对称性，即以较少的资本占用撬动了超额利润，属组合的“进攻核”。</w:t>
      </w:r>
    </w:p>
    <w:p>
      <w:pPr>
        <w:spacing w:before="120" w:after="120" w:line="288" w:lineRule="auto"/>
        <w:ind w:left="0"/>
        <w:jc w:val="left"/>
      </w:pPr>
      <w:r>
        <w:rPr>
          <w:rFonts w:eastAsia="等线" w:ascii="Arial" w:cs="Arial" w:hAnsi="Arial"/>
          <w:sz w:val="22"/>
        </w:rPr>
        <w:t>资金效率倍数 &lt; 1.0x：表征该资产的利润贡献低于其资本占用，通常承担组合的“防守底座”或流动性管理职能，其低效率部分可视为平滑组合波动所支付的隐性期权费。</w:t>
      </w:r>
    </w:p>
    <w:p>
      <w:pPr>
        <w:spacing w:before="120" w:after="120" w:line="288" w:lineRule="auto"/>
        <w:ind w:left="0"/>
        <w:jc w:val="left"/>
      </w:pPr>
      <w:r>
        <w:rPr>
          <w:rFonts w:eastAsia="等线" w:ascii="Arial" w:cs="Arial" w:hAnsi="Arial"/>
          <w:sz w:val="22"/>
        </w:rPr>
        <w:t>股票、商品双引擎效率显著领先，分别达 2.40x、1.56x，以合计约 35% 的资金占用，贡献超 68% 的利润，实现高效超额收益。可转债（0.62x）与纯债基（0.28x）效率低于 1.0x，合计占用 65% 资金，并非低效配置，而是组合尾部风险防控的核心设计：可转债提供全天候收益垫，纯债基作为避险蓄水池，以适度效率牺牲换取极端行情下的回撤保护。</w:t>
      </w:r>
    </w:p>
    <w:p>
      <w:pPr>
        <w:pStyle w:val="1"/>
        <w:spacing w:before="380" w:after="140" w:line="288" w:lineRule="auto"/>
        <w:ind w:left="0"/>
        <w:jc w:val="left"/>
        <w:outlineLvl w:val="0"/>
      </w:pPr>
      <w:bookmarkStart w:name="heading_36" w:id="36"/>
      <w:r>
        <w:rPr>
          <w:rFonts w:eastAsia="等线" w:ascii="Arial" w:cs="Arial" w:hAnsi="Arial"/>
          <w:b w:val="true"/>
          <w:sz w:val="36"/>
        </w:rPr>
        <w:t>产品解析</w:t>
      </w:r>
      <w:bookmarkEnd w:id="36"/>
    </w:p>
    <w:p>
      <w:pPr>
        <w:pStyle w:val="2"/>
        <w:spacing w:before="320" w:after="120" w:line="288" w:lineRule="auto"/>
        <w:ind w:left="0"/>
        <w:jc w:val="left"/>
        <w:outlineLvl w:val="1"/>
      </w:pPr>
      <w:bookmarkStart w:name="heading_37" w:id="37"/>
      <w:r>
        <w:rPr>
          <w:rFonts w:eastAsia="等线" w:ascii="Arial" w:cs="Arial" w:hAnsi="Arial"/>
          <w:b w:val="true"/>
          <w:sz w:val="32"/>
        </w:rPr>
        <w:t>风格概述</w:t>
      </w:r>
      <w:bookmarkEnd w:id="37"/>
    </w:p>
    <w:p>
      <w:pPr>
        <w:spacing w:before="120" w:after="120" w:line="288" w:lineRule="auto"/>
        <w:ind w:left="0"/>
        <w:jc w:val="left"/>
      </w:pPr>
      <w:r>
        <w:rPr>
          <w:rFonts w:eastAsia="等线" w:ascii="Arial" w:cs="Arial" w:hAnsi="Arial"/>
          <w:sz w:val="22"/>
        </w:rPr>
        <w:t>本产品属于</w:t>
      </w:r>
      <w:r>
        <w:rPr>
          <w:rFonts w:eastAsia="等线" w:ascii="Arial" w:cs="Arial" w:hAnsi="Arial"/>
          <w:b w:val="true"/>
          <w:sz w:val="22"/>
        </w:rPr>
        <w:t>宏观周期驱动、量化风控加持、全天候攻守兼备</w:t>
      </w:r>
      <w:r>
        <w:rPr>
          <w:rFonts w:eastAsia="等线" w:ascii="Arial" w:cs="Arial" w:hAnsi="Arial"/>
          <w:sz w:val="22"/>
        </w:rPr>
        <w:t>的大类资产配置产品，兼具周期轮动的收益弹性与动态避险的抗跌韧性。</w:t>
      </w:r>
    </w:p>
    <w:p>
      <w:pPr>
        <w:spacing w:before="120" w:after="120" w:line="288" w:lineRule="auto"/>
        <w:ind w:left="0"/>
        <w:jc w:val="left"/>
      </w:pPr>
      <w:r>
        <w:rPr>
          <w:rFonts w:eastAsia="等线" w:ascii="Arial" w:cs="Arial" w:hAnsi="Arial"/>
          <w:sz w:val="22"/>
        </w:rPr>
        <w:t>产品以普林格周期理论为底层框架，通过</w:t>
      </w:r>
      <w:r>
        <w:rPr>
          <w:rFonts w:eastAsia="等线" w:ascii="Arial" w:cs="Arial" w:hAnsi="Arial"/>
          <w:b w:val="true"/>
          <w:sz w:val="22"/>
        </w:rPr>
        <w:t>股票、商品、可转债、国开债</w:t>
      </w:r>
      <w:r>
        <w:rPr>
          <w:rFonts w:eastAsia="等线" w:ascii="Arial" w:cs="Arial" w:hAnsi="Arial"/>
          <w:sz w:val="22"/>
        </w:rPr>
        <w:t>四核资产协同运作：股票与商品双引擎捕捉周期红利、贡献超额收益，可转债提供全天候收益垫、平滑组合波动，国开债作为避险蓄水池、阻断极端回撤；同时以</w:t>
      </w:r>
      <w:r>
        <w:rPr>
          <w:rFonts w:eastAsia="等线" w:ascii="Arial" w:cs="Arial" w:hAnsi="Arial"/>
          <w:b w:val="true"/>
          <w:sz w:val="22"/>
        </w:rPr>
        <w:t>季度宏观定调、日频 MA20 风控</w:t>
      </w:r>
      <w:r>
        <w:rPr>
          <w:rFonts w:eastAsia="等线" w:ascii="Arial" w:cs="Arial" w:hAnsi="Arial"/>
          <w:sz w:val="22"/>
        </w:rPr>
        <w:t>为核心执行逻辑，形成 “周期择时 + 趋势止损” 的双重防护，整体呈现</w:t>
      </w:r>
      <w:r>
        <w:rPr>
          <w:rFonts w:eastAsia="等线" w:ascii="Arial" w:cs="Arial" w:hAnsi="Arial"/>
          <w:b w:val="true"/>
          <w:sz w:val="22"/>
        </w:rPr>
        <w:t>低波动、稳健增值、回撤可控、穿越牛熊</w:t>
      </w:r>
      <w:r>
        <w:rPr>
          <w:rFonts w:eastAsia="等线" w:ascii="Arial" w:cs="Arial" w:hAnsi="Arial"/>
          <w:sz w:val="22"/>
        </w:rPr>
        <w:t>的风格特征，区别于单一权益或固收产品，是适配全市场环境的均衡型配置工具。</w:t>
      </w:r>
    </w:p>
    <w:p>
      <w:pPr>
        <w:pStyle w:val="2"/>
        <w:spacing w:before="320" w:after="120" w:line="288" w:lineRule="auto"/>
        <w:ind w:left="0"/>
        <w:jc w:val="left"/>
        <w:outlineLvl w:val="1"/>
      </w:pPr>
      <w:bookmarkStart w:name="heading_38" w:id="38"/>
      <w:r>
        <w:rPr>
          <w:rFonts w:eastAsia="等线" w:ascii="Arial" w:cs="Arial" w:hAnsi="Arial"/>
          <w:b w:val="true"/>
          <w:sz w:val="32"/>
        </w:rPr>
        <w:t>适用人群</w:t>
      </w:r>
      <w:bookmarkEnd w:id="38"/>
    </w:p>
    <w:p>
      <w:pPr>
        <w:spacing w:before="120" w:after="120" w:line="288" w:lineRule="auto"/>
        <w:ind w:left="0"/>
        <w:jc w:val="left"/>
      </w:pPr>
      <w:r>
        <w:rPr>
          <w:rFonts w:eastAsia="等线" w:ascii="Arial" w:cs="Arial" w:hAnsi="Arial"/>
          <w:sz w:val="22"/>
        </w:rPr>
        <w:t>本产品适配</w:t>
      </w:r>
      <w:r>
        <w:rPr>
          <w:rFonts w:eastAsia="等线" w:ascii="Arial" w:cs="Arial" w:hAnsi="Arial"/>
          <w:b w:val="true"/>
          <w:sz w:val="22"/>
        </w:rPr>
        <w:t>追求长期稳健收益、厌恶大幅回撤、偏好均衡配置</w:t>
      </w:r>
      <w:r>
        <w:rPr>
          <w:rFonts w:eastAsia="等线" w:ascii="Arial" w:cs="Arial" w:hAnsi="Arial"/>
          <w:sz w:val="22"/>
        </w:rPr>
        <w:t>的投资者，核心适配人群如下：</w:t>
      </w:r>
    </w:p>
    <w:p>
      <w:pPr>
        <w:numPr>
          <w:numId w:val="32"/>
        </w:numPr>
        <w:spacing w:before="120" w:after="120" w:line="288" w:lineRule="auto"/>
        <w:ind w:left="0"/>
        <w:jc w:val="left"/>
      </w:pPr>
      <w:r>
        <w:rPr>
          <w:rFonts w:eastAsia="等线" w:ascii="Arial" w:cs="Arial" w:hAnsi="Arial"/>
          <w:sz w:val="22"/>
        </w:rPr>
        <w:t>稳健型及进取稳健型投资者：既希望捕捉市场结构性机会、获取高于固收的收益，又无法承受权益市场 20% 以上的深度回撤，追求 “收益稳、波动小、回撤可控” 的配置体验；</w:t>
      </w:r>
    </w:p>
    <w:p>
      <w:pPr>
        <w:numPr>
          <w:numId w:val="33"/>
        </w:numPr>
        <w:spacing w:before="120" w:after="120" w:line="288" w:lineRule="auto"/>
        <w:ind w:left="0"/>
        <w:jc w:val="left"/>
      </w:pPr>
      <w:r>
        <w:rPr>
          <w:rFonts w:eastAsia="等线" w:ascii="Arial" w:cs="Arial" w:hAnsi="Arial"/>
          <w:sz w:val="22"/>
        </w:rPr>
        <w:t>长期资金配置需求者：包括个人高净值客户、家庭长期理财资金、企业闲置资金等，投资周期 1-3 年及以上，无需频繁择时，依赖系统化策略实现资产长期保值增值；</w:t>
      </w:r>
    </w:p>
    <w:p>
      <w:pPr>
        <w:numPr>
          <w:numId w:val="34"/>
        </w:numPr>
        <w:spacing w:before="120" w:after="120" w:line="288" w:lineRule="auto"/>
        <w:ind w:left="0"/>
        <w:jc w:val="left"/>
      </w:pPr>
      <w:r>
        <w:rPr>
          <w:rFonts w:eastAsia="等线" w:ascii="Arial" w:cs="Arial" w:hAnsi="Arial"/>
          <w:sz w:val="22"/>
        </w:rPr>
        <w:t>大类资产配置参与者：已有股票、基金、债券等基础资产配置，希望通过本产品补充</w:t>
      </w:r>
      <w:r>
        <w:rPr>
          <w:rFonts w:eastAsia="等线" w:ascii="Arial" w:cs="Arial" w:hAnsi="Arial"/>
          <w:b w:val="true"/>
          <w:sz w:val="22"/>
        </w:rPr>
        <w:t>周期轮动 + 极端避险</w:t>
      </w:r>
      <w:r>
        <w:rPr>
          <w:rFonts w:eastAsia="等线" w:ascii="Arial" w:cs="Arial" w:hAnsi="Arial"/>
          <w:sz w:val="22"/>
        </w:rPr>
        <w:t>能力，优化组合收益风险比、分散单一资产风险；</w:t>
      </w:r>
    </w:p>
    <w:p>
      <w:pPr>
        <w:numPr>
          <w:numId w:val="35"/>
        </w:numPr>
        <w:spacing w:before="120" w:after="120" w:line="288" w:lineRule="auto"/>
        <w:ind w:left="0"/>
        <w:jc w:val="left"/>
      </w:pPr>
      <w:r>
        <w:rPr>
          <w:rFonts w:eastAsia="等线" w:ascii="Arial" w:cs="Arial" w:hAnsi="Arial"/>
          <w:sz w:val="22"/>
        </w:rPr>
        <w:t>风险厌恶型进阶投资者：不满足于货币基金、纯债基的低收益，又担忧纯权益资产的高波动，倾向于 “进攻有收益、防守有底线” 的平衡型产品。</w:t>
      </w:r>
    </w:p>
    <w:sectPr>
      <w:footerReference w:type="default" r:id="rId3"/>
      <w:headerReference w:type="default" r:id="rId2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35872">
    <w:lvl>
      <w:numFmt w:val="bullet"/>
      <w:suff w:val="tab"/>
      <w:lvlText w:val="•"/>
      <w:rPr>
        <w:color w:val="3370ff"/>
      </w:rPr>
    </w:lvl>
  </w:abstractNum>
  <w:abstractNum w:abstractNumId="1035873">
    <w:lvl>
      <w:numFmt w:val="bullet"/>
      <w:suff w:val="tab"/>
      <w:lvlText w:val="•"/>
      <w:rPr>
        <w:color w:val="3370ff"/>
      </w:rPr>
    </w:lvl>
  </w:abstractNum>
  <w:abstractNum w:abstractNumId="1035874">
    <w:lvl>
      <w:numFmt w:val="bullet"/>
      <w:suff w:val="tab"/>
      <w:lvlText w:val="•"/>
      <w:rPr>
        <w:color w:val="3370ff"/>
      </w:rPr>
    </w:lvl>
  </w:abstractNum>
  <w:abstractNum w:abstractNumId="1035875">
    <w:lvl>
      <w:numFmt w:val="bullet"/>
      <w:suff w:val="tab"/>
      <w:lvlText w:val="•"/>
      <w:rPr>
        <w:color w:val="3370ff"/>
      </w:rPr>
    </w:lvl>
  </w:abstractNum>
  <w:abstractNum w:abstractNumId="1035876">
    <w:lvl>
      <w:numFmt w:val="bullet"/>
      <w:suff w:val="tab"/>
      <w:lvlText w:val="•"/>
      <w:rPr>
        <w:color w:val="3370ff"/>
      </w:rPr>
    </w:lvl>
  </w:abstractNum>
  <w:abstractNum w:abstractNumId="1035877">
    <w:lvl>
      <w:numFmt w:val="bullet"/>
      <w:suff w:val="tab"/>
      <w:lvlText w:val="•"/>
      <w:rPr>
        <w:color w:val="3370ff"/>
      </w:rPr>
    </w:lvl>
  </w:abstractNum>
  <w:abstractNum w:abstractNumId="1035878">
    <w:lvl>
      <w:numFmt w:val="bullet"/>
      <w:suff w:val="tab"/>
      <w:lvlText w:val="•"/>
      <w:rPr>
        <w:color w:val="3370ff"/>
      </w:rPr>
    </w:lvl>
  </w:abstractNum>
  <w:abstractNum w:abstractNumId="1035879">
    <w:lvl>
      <w:numFmt w:val="bullet"/>
      <w:suff w:val="tab"/>
      <w:lvlText w:val="•"/>
      <w:rPr>
        <w:color w:val="3370ff"/>
      </w:rPr>
    </w:lvl>
  </w:abstractNum>
  <w:abstractNum w:abstractNumId="1035880">
    <w:lvl>
      <w:numFmt w:val="bullet"/>
      <w:suff w:val="tab"/>
      <w:lvlText w:val="•"/>
      <w:rPr>
        <w:color w:val="3370ff"/>
      </w:rPr>
    </w:lvl>
  </w:abstractNum>
  <w:abstractNum w:abstractNumId="1035881">
    <w:lvl>
      <w:numFmt w:val="bullet"/>
      <w:suff w:val="tab"/>
      <w:lvlText w:val="•"/>
      <w:rPr>
        <w:color w:val="3370ff"/>
      </w:rPr>
    </w:lvl>
  </w:abstractNum>
  <w:abstractNum w:abstractNumId="1035882">
    <w:lvl>
      <w:start w:val="1"/>
      <w:numFmt w:val="decimal"/>
      <w:suff w:val="tab"/>
      <w:lvlText w:val="%1."/>
      <w:rPr>
        <w:color w:val="3370ff"/>
      </w:rPr>
    </w:lvl>
  </w:abstractNum>
  <w:abstractNum w:abstractNumId="1035883">
    <w:lvl>
      <w:start w:val="2"/>
      <w:numFmt w:val="decimal"/>
      <w:suff w:val="tab"/>
      <w:lvlText w:val="%1."/>
      <w:rPr>
        <w:color w:val="3370ff"/>
      </w:rPr>
    </w:lvl>
  </w:abstractNum>
  <w:abstractNum w:abstractNumId="1035884">
    <w:lvl>
      <w:start w:val="1"/>
      <w:numFmt w:val="decimal"/>
      <w:suff w:val="tab"/>
      <w:lvlText w:val="%1."/>
      <w:rPr>
        <w:color w:val="3370ff"/>
      </w:rPr>
    </w:lvl>
  </w:abstractNum>
  <w:abstractNum w:abstractNumId="1035885">
    <w:lvl>
      <w:start w:val="2"/>
      <w:numFmt w:val="decimal"/>
      <w:suff w:val="tab"/>
      <w:lvlText w:val="%1."/>
      <w:rPr>
        <w:color w:val="3370ff"/>
      </w:rPr>
    </w:lvl>
  </w:abstractNum>
  <w:abstractNum w:abstractNumId="1035886">
    <w:lvl>
      <w:numFmt w:val="bullet"/>
      <w:suff w:val="tab"/>
      <w:lvlText w:val="•"/>
      <w:rPr>
        <w:color w:val="3370ff"/>
      </w:rPr>
    </w:lvl>
  </w:abstractNum>
  <w:abstractNum w:abstractNumId="1035887">
    <w:lvl>
      <w:numFmt w:val="bullet"/>
      <w:suff w:val="tab"/>
      <w:lvlText w:val="•"/>
      <w:rPr>
        <w:color w:val="3370ff"/>
      </w:rPr>
    </w:lvl>
  </w:abstractNum>
  <w:abstractNum w:abstractNumId="1035888">
    <w:lvl>
      <w:numFmt w:val="bullet"/>
      <w:suff w:val="tab"/>
      <w:lvlText w:val="•"/>
      <w:rPr>
        <w:color w:val="3370ff"/>
      </w:rPr>
    </w:lvl>
  </w:abstractNum>
  <w:abstractNum w:abstractNumId="1035889">
    <w:lvl>
      <w:start w:val="1"/>
      <w:numFmt w:val="decimal"/>
      <w:suff w:val="tab"/>
      <w:lvlText w:val="%1."/>
      <w:rPr>
        <w:color w:val="3370ff"/>
      </w:rPr>
    </w:lvl>
  </w:abstractNum>
  <w:abstractNum w:abstractNumId="1035890">
    <w:lvl>
      <w:start w:val="2"/>
      <w:numFmt w:val="decimal"/>
      <w:suff w:val="tab"/>
      <w:lvlText w:val="%1."/>
      <w:rPr>
        <w:color w:val="3370ff"/>
      </w:rPr>
    </w:lvl>
  </w:abstractNum>
  <w:abstractNum w:abstractNumId="1035891">
    <w:lvl>
      <w:start w:val="3"/>
      <w:numFmt w:val="decimal"/>
      <w:suff w:val="tab"/>
      <w:lvlText w:val="%1."/>
      <w:rPr>
        <w:color w:val="3370ff"/>
      </w:rPr>
    </w:lvl>
  </w:abstractNum>
  <w:abstractNum w:abstractNumId="1035892">
    <w:lvl>
      <w:start w:val="4"/>
      <w:numFmt w:val="decimal"/>
      <w:suff w:val="tab"/>
      <w:lvlText w:val="%1."/>
      <w:rPr>
        <w:color w:val="3370ff"/>
      </w:rPr>
    </w:lvl>
  </w:abstractNum>
  <w:abstractNum w:abstractNumId="1035893">
    <w:lvl>
      <w:start w:val="5"/>
      <w:numFmt w:val="decimal"/>
      <w:suff w:val="tab"/>
      <w:lvlText w:val="%1."/>
      <w:rPr>
        <w:color w:val="3370ff"/>
      </w:rPr>
    </w:lvl>
  </w:abstractNum>
  <w:abstractNum w:abstractNumId="1035894">
    <w:lvl>
      <w:start w:val="6"/>
      <w:numFmt w:val="decimal"/>
      <w:suff w:val="tab"/>
      <w:lvlText w:val="%1."/>
      <w:rPr>
        <w:color w:val="3370ff"/>
      </w:rPr>
    </w:lvl>
  </w:abstractNum>
  <w:abstractNum w:abstractNumId="1035895">
    <w:lvl>
      <w:numFmt w:val="bullet"/>
      <w:suff w:val="tab"/>
      <w:lvlText w:val="•"/>
      <w:rPr>
        <w:color w:val="3370ff"/>
      </w:rPr>
    </w:lvl>
  </w:abstractNum>
  <w:abstractNum w:abstractNumId="1035896">
    <w:lvl>
      <w:numFmt w:val="bullet"/>
      <w:suff w:val="tab"/>
      <w:lvlText w:val="•"/>
      <w:rPr>
        <w:color w:val="3370ff"/>
      </w:rPr>
    </w:lvl>
  </w:abstractNum>
  <w:abstractNum w:abstractNumId="1035897">
    <w:lvl>
      <w:numFmt w:val="bullet"/>
      <w:suff w:val="tab"/>
      <w:lvlText w:val="•"/>
      <w:rPr>
        <w:color w:val="3370ff"/>
      </w:rPr>
    </w:lvl>
  </w:abstractNum>
  <w:abstractNum w:abstractNumId="1035898">
    <w:lvl>
      <w:start w:val="1"/>
      <w:numFmt w:val="decimal"/>
      <w:suff w:val="tab"/>
      <w:lvlText w:val="%1."/>
      <w:rPr>
        <w:color w:val="3370ff"/>
      </w:rPr>
    </w:lvl>
  </w:abstractNum>
  <w:abstractNum w:abstractNumId="1035899">
    <w:lvl>
      <w:start w:val="2"/>
      <w:numFmt w:val="decimal"/>
      <w:suff w:val="tab"/>
      <w:lvlText w:val="%1."/>
      <w:rPr>
        <w:color w:val="3370ff"/>
      </w:rPr>
    </w:lvl>
  </w:abstractNum>
  <w:abstractNum w:abstractNumId="1035900">
    <w:lvl>
      <w:start w:val="3"/>
      <w:numFmt w:val="decimal"/>
      <w:suff w:val="tab"/>
      <w:lvlText w:val="%1."/>
      <w:rPr>
        <w:color w:val="3370ff"/>
      </w:rPr>
    </w:lvl>
  </w:abstractNum>
  <w:abstractNum w:abstractNumId="1035901">
    <w:lvl>
      <w:numFmt w:val="bullet"/>
      <w:suff w:val="tab"/>
      <w:lvlText w:val="￮"/>
      <w:rPr>
        <w:color w:val="3370ff"/>
      </w:rPr>
    </w:lvl>
  </w:abstractNum>
  <w:abstractNum w:abstractNumId="1035902">
    <w:lvl>
      <w:numFmt w:val="bullet"/>
      <w:suff w:val="tab"/>
      <w:lvlText w:val="￮"/>
      <w:rPr>
        <w:color w:val="3370ff"/>
      </w:rPr>
    </w:lvl>
  </w:abstractNum>
  <w:abstractNum w:abstractNumId="1035903">
    <w:lvl>
      <w:start w:val="1"/>
      <w:numFmt w:val="decimal"/>
      <w:suff w:val="tab"/>
      <w:lvlText w:val="%1."/>
      <w:rPr>
        <w:color w:val="3370ff"/>
      </w:rPr>
    </w:lvl>
  </w:abstractNum>
  <w:abstractNum w:abstractNumId="1035904">
    <w:lvl>
      <w:start w:val="2"/>
      <w:numFmt w:val="decimal"/>
      <w:suff w:val="tab"/>
      <w:lvlText w:val="%1."/>
      <w:rPr>
        <w:color w:val="3370ff"/>
      </w:rPr>
    </w:lvl>
  </w:abstractNum>
  <w:abstractNum w:abstractNumId="1035905">
    <w:lvl>
      <w:start w:val="3"/>
      <w:numFmt w:val="decimal"/>
      <w:suff w:val="tab"/>
      <w:lvlText w:val="%1."/>
      <w:rPr>
        <w:color w:val="3370ff"/>
      </w:rPr>
    </w:lvl>
  </w:abstractNum>
  <w:abstractNum w:abstractNumId="1035906">
    <w:lvl>
      <w:start w:val="4"/>
      <w:numFmt w:val="decimal"/>
      <w:suff w:val="tab"/>
      <w:lvlText w:val="%1."/>
      <w:rPr>
        <w:color w:val="3370ff"/>
      </w:rPr>
    </w:lvl>
  </w:abstractNum>
  <w:num w:numId="1">
    <w:abstractNumId w:val="1035872"/>
  </w:num>
  <w:num w:numId="2">
    <w:abstractNumId w:val="1035873"/>
  </w:num>
  <w:num w:numId="3">
    <w:abstractNumId w:val="1035874"/>
  </w:num>
  <w:num w:numId="4">
    <w:abstractNumId w:val="1035875"/>
  </w:num>
  <w:num w:numId="5">
    <w:abstractNumId w:val="1035876"/>
  </w:num>
  <w:num w:numId="6">
    <w:abstractNumId w:val="1035877"/>
  </w:num>
  <w:num w:numId="7">
    <w:abstractNumId w:val="1035878"/>
  </w:num>
  <w:num w:numId="8">
    <w:abstractNumId w:val="1035879"/>
  </w:num>
  <w:num w:numId="9">
    <w:abstractNumId w:val="1035880"/>
  </w:num>
  <w:num w:numId="10">
    <w:abstractNumId w:val="1035881"/>
  </w:num>
  <w:num w:numId="11">
    <w:abstractNumId w:val="1035882"/>
  </w:num>
  <w:num w:numId="12">
    <w:abstractNumId w:val="1035883"/>
  </w:num>
  <w:num w:numId="13">
    <w:abstractNumId w:val="1035884"/>
  </w:num>
  <w:num w:numId="14">
    <w:abstractNumId w:val="1035885"/>
  </w:num>
  <w:num w:numId="15">
    <w:abstractNumId w:val="1035886"/>
  </w:num>
  <w:num w:numId="16">
    <w:abstractNumId w:val="1035887"/>
  </w:num>
  <w:num w:numId="17">
    <w:abstractNumId w:val="1035888"/>
  </w:num>
  <w:num w:numId="18">
    <w:abstractNumId w:val="1035889"/>
  </w:num>
  <w:num w:numId="19">
    <w:abstractNumId w:val="1035890"/>
  </w:num>
  <w:num w:numId="20">
    <w:abstractNumId w:val="1035891"/>
  </w:num>
  <w:num w:numId="21">
    <w:abstractNumId w:val="1035892"/>
  </w:num>
  <w:num w:numId="22">
    <w:abstractNumId w:val="1035893"/>
  </w:num>
  <w:num w:numId="23">
    <w:abstractNumId w:val="1035894"/>
  </w:num>
  <w:num w:numId="24">
    <w:abstractNumId w:val="1035895"/>
  </w:num>
  <w:num w:numId="25">
    <w:abstractNumId w:val="1035896"/>
  </w:num>
  <w:num w:numId="26">
    <w:abstractNumId w:val="1035897"/>
  </w:num>
  <w:num w:numId="27">
    <w:abstractNumId w:val="1035898"/>
  </w:num>
  <w:num w:numId="28">
    <w:abstractNumId w:val="1035899"/>
  </w:num>
  <w:num w:numId="29">
    <w:abstractNumId w:val="1035900"/>
  </w:num>
  <w:num w:numId="30">
    <w:abstractNumId w:val="1035901"/>
  </w:num>
  <w:num w:numId="31">
    <w:abstractNumId w:val="1035902"/>
  </w:num>
  <w:num w:numId="32">
    <w:abstractNumId w:val="1035903"/>
  </w:num>
  <w:num w:numId="33">
    <w:abstractNumId w:val="1035904"/>
  </w:num>
  <w:num w:numId="34">
    <w:abstractNumId w:val="1035905"/>
  </w:num>
  <w:num w:numId="35">
    <w:abstractNumId w:val="103590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1.xlsx" Type="http://schemas.openxmlformats.org/officeDocument/2006/relationships/pack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embeddings/Microsoft_Excel_Worksheet2.xlsx" Type="http://schemas.openxmlformats.org/officeDocument/2006/relationships/package"/><Relationship Id="rId16" Target="media/image10.png" Type="http://schemas.openxmlformats.org/officeDocument/2006/relationships/image"/><Relationship Id="rId17" Target="media/image11.png" Type="http://schemas.openxmlformats.org/officeDocument/2006/relationships/image"/><Relationship Id="rId18" Target="media/image12.png" Type="http://schemas.openxmlformats.org/officeDocument/2006/relationships/image"/><Relationship Id="rId19" Target="media/image13.png" Type="http://schemas.openxmlformats.org/officeDocument/2006/relationships/image"/><Relationship Id="rId2" Target="styles.xml" Type="http://schemas.openxmlformats.org/officeDocument/2006/relationships/styles"/><Relationship Id="rId20" Target="media/image14.png" Type="http://schemas.openxmlformats.org/officeDocument/2006/relationships/image"/><Relationship Id="rId21" Target="embeddings/Microsoft_Excel_Worksheet3.xlsx" Type="http://schemas.openxmlformats.org/officeDocument/2006/relationships/package"/><Relationship Id="rId22" Target="media/image15.png" Type="http://schemas.openxmlformats.org/officeDocument/2006/relationships/image"/><Relationship Id="rId23" Target="media/image16.png" Type="http://schemas.openxmlformats.org/officeDocument/2006/relationships/image"/><Relationship Id="rId24" Target="embeddings/Microsoft_Excel_Worksheet4.xlsx" Type="http://schemas.openxmlformats.org/officeDocument/2006/relationships/package"/><Relationship Id="rId25" Target="media/image17.png" Type="http://schemas.openxmlformats.org/officeDocument/2006/relationships/image"/><Relationship Id="rId26" Target="media/image18.png" Type="http://schemas.openxmlformats.org/officeDocument/2006/relationships/image"/><Relationship Id="rId27"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2026-05-20T07:36:11Z</dcterms:created>
  <dc:creator>Apache POI</dc:creator>
</cp:coreProperties>
</file>