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Calibri" w:hAnsi="Calibri" w:eastAsia="微软雅黑"/>
          <w:b/>
          <w:color w:val="17365D"/>
          <w:sz w:val="46"/>
        </w:rPr>
        <w:t>转债增强净值序列</w:t>
      </w:r>
    </w:p>
    <w:p>
      <w:pPr>
        <w:spacing w:after="320"/>
        <w:jc w:val="center"/>
      </w:pPr>
      <w:r>
        <w:rPr>
          <w:rFonts w:ascii="Calibri" w:hAnsi="Calibri" w:eastAsia="微软雅黑"/>
          <w:b w:val="0"/>
          <w:color w:val="555555"/>
          <w:sz w:val="28"/>
        </w:rPr>
        <w:t>OCR 核验与待确认事项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核验日期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2026-06-11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覆盖产品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优美利赢胜价值2号、安值量化1号、弘毅致诚-盈峰债券型、纽达可转债一号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数据范围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2018-11-29 至 2026-06-05；合计 1,608 条记录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总体判断：</w:t>
            </w: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未发现仍未解决的高风险 OCR 数值错误。四个产品的累计净值（分红再投资）逐期收益与页面净值变动高度一致，最大绝对差异约 0.011 个百分点，符合四位净值与两位百分比的舍入误差。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四个产品均未发现重复日期，日期顺序完整且可解析。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成立日页面未显示净值变动，Excel 中按空值保留，没有补造收益率。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所有净值均按四位小数写入，净值变动按百分比数值写入。</w:t>
      </w:r>
    </w:p>
    <w:p>
      <w:pPr>
        <w:pStyle w:val="Heading1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已确认并修正的 OCR 断裂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60"/>
        <w:gridCol w:w="1480"/>
        <w:gridCol w:w="1580"/>
        <w:gridCol w:w="1580"/>
        <w:gridCol w:w="2960"/>
      </w:tblGrid>
      <w:tr>
        <w:trPr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OCR 文本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清理结果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核验依据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优美利赢胜价值2号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2025-01-27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2.11 75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2.1175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原图显示 2.1175；累计净值变动与 -0.06% 一致。</w:t>
            </w:r>
          </w:p>
        </w:tc>
      </w:tr>
      <w:t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纽达可转债一号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2025-01-27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2.1 620</w:t>
            </w:r>
          </w:p>
        </w:tc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2.1620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原图显示 2.1620；该列为累计净值（分红不投资）。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看似异常但原图确认无误</w:t>
      </w:r>
    </w:p>
    <w:p>
      <w:pPr>
        <w:spacing w:before="0" w:after="12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以下日期的单位净值出现大幅跳变，但累计净值（分红再投资）与净值变动连续，属于分红除权或净值口径切换的表现。已按原图保留，不应按普通周收益直接改写单位净值。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80"/>
        <w:gridCol w:w="1560"/>
        <w:gridCol w:w="1640"/>
        <w:gridCol w:w="2120"/>
        <w:gridCol w:w="1560"/>
      </w:tblGrid>
      <w:tr>
        <w:trPr>
          <w:tblHeader w:val="true"/>
        </w:trP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产品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日期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单位净值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累计净值（再投资）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净值变动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优美利赢胜价值2号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2021-04-07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1.0240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1.2230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0.33%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弘毅致诚-盈峰债券型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2026-04-13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1.6302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2.5393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-0.06%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弘毅致诚-盈峰债券型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2020-12-22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1.0000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1.3238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-0.07%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弘毅致诚-盈峰债券型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2019-03-27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1.0579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1.1617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-0.79%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纽达可转债一号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2025-08-29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2.0131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2.5042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-2.67%</w:t>
            </w:r>
          </w:p>
        </w:tc>
      </w:tr>
      <w:tr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纽达可转债一号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2023-04-07</w:t>
            </w:r>
          </w:p>
        </w:tc>
        <w:tc>
          <w:tcPr>
            <w:tcW w:type="dxa" w:w="1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2.1003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2.1746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1.46%</w:t>
            </w:r>
          </w:p>
        </w:tc>
      </w:tr>
    </w:tbl>
    <w:p>
      <w:pPr>
        <w:pStyle w:val="Heading1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仍建议关注的事项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2F0D9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b/>
                <w:color w:val="17365D"/>
                <w:sz w:val="22"/>
              </w:rPr>
              <w:t>无待确认单点：</w:t>
            </w: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本轮未留下需要用户逐项回看才能决定的单点数值。两处 OCR 数字断裂已经原图确认，其余序列通过累计净值收益一致性检查。</w:t>
            </w:r>
          </w:p>
        </w:tc>
      </w:tr>
    </w:tbl>
    <w:p>
      <w:pPr>
        <w:spacing w:after="0"/>
      </w:pPr>
    </w:p>
    <w:p>
      <w:pPr>
        <w:pStyle w:val="ListBullet"/>
        <w:spacing w:before="0" w:after="10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逻辑校验无法完全排除“原图本身错误”或“多个字段同时被一致地误识别”的极低概率情况；若用于正式估值、审计或对外披露，仍应与管理人月报或托管净值文件做最终核对。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单位净值在分红除权日不可直接用于计算未经调整的连续收益；组合回测建议优先使用累计净值（分红再投资）。</w:t>
      </w:r>
    </w:p>
    <w:p>
      <w:pPr>
        <w:pStyle w:val="ListBullet"/>
        <w:spacing w:before="0" w:after="100" w:line="264" w:lineRule="auto"/>
      </w:pPr>
      <w:r>
        <w:rPr>
          <w:rFonts w:ascii="Calibri" w:hAnsi="Calibri" w:eastAsia="微软雅黑"/>
          <w:b w:val="0"/>
          <w:color w:val="000000"/>
          <w:sz w:val="22"/>
        </w:rPr>
        <w:t>页面最新净值日期为 2026-06-05，本次整理日期为 2026-06-11；Excel 未外推或补齐 2026-06-05 之后的数据。</w:t>
      </w:r>
    </w:p>
    <w:p>
      <w:pPr>
        <w:pStyle w:val="Heading1"/>
        <w:spacing w:before="320" w:after="160"/>
      </w:pPr>
      <w:r>
        <w:rPr>
          <w:rFonts w:ascii="Calibri" w:hAnsi="Calibri" w:eastAsia="微软雅黑"/>
          <w:b/>
          <w:color w:val="2E74B5"/>
          <w:sz w:val="32"/>
        </w:rPr>
        <w:t>产品覆盖情况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260"/>
        <w:gridCol w:w="2400"/>
        <w:gridCol w:w="240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产品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记录数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起始日期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4472C4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最新日期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优美利赢胜价值2号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381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2019-09-06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2026-06-05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安值量化1号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424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2018-11-29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2026-06-05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弘毅致诚-盈峰债券型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422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2018-12-26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2026-06-05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纽达可转债一号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381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2019-09-10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color w:val="000000"/>
                <w:sz w:val="22"/>
              </w:rPr>
              <w:t>2026-06-05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color w:val="777777"/>
        <w:sz w:val="18"/>
      </w:rPr>
      <w:t>转债增强净值 OCR 核验 | 2026-06-11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