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05EB9" w14:textId="77777777" w:rsidR="005A1347" w:rsidRPr="00F7297F" w:rsidRDefault="00F7297F" w:rsidP="005A1347">
      <w:pPr>
        <w:spacing w:line="276" w:lineRule="auto"/>
        <w:jc w:val="center"/>
        <w:rPr>
          <w:rFonts w:ascii="Times New Roman" w:hAnsi="Times New Roman" w:cs="Times New Roman"/>
          <w:b/>
          <w:bCs/>
          <w:color w:val="000000"/>
          <w:sz w:val="26"/>
          <w:szCs w:val="26"/>
        </w:rPr>
      </w:pPr>
      <w:r w:rsidRPr="00F7297F">
        <w:rPr>
          <w:rFonts w:ascii="Times New Roman" w:hAnsi="Times New Roman" w:cs="Times New Roman"/>
          <w:noProof/>
          <w:lang w:eastAsia="ru-RU"/>
        </w:rPr>
        <w:drawing>
          <wp:anchor distT="0" distB="0" distL="114300" distR="114300" simplePos="0" relativeHeight="251658240" behindDoc="0" locked="0" layoutInCell="1" allowOverlap="1" wp14:anchorId="04D92D1E" wp14:editId="1AA48EF9">
            <wp:simplePos x="0" y="0"/>
            <wp:positionH relativeFrom="margin">
              <wp:posOffset>-1094105</wp:posOffset>
            </wp:positionH>
            <wp:positionV relativeFrom="margin">
              <wp:posOffset>-92364</wp:posOffset>
            </wp:positionV>
            <wp:extent cx="7955280" cy="960120"/>
            <wp:effectExtent l="0" t="0" r="762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955280" cy="960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1347" w:rsidRPr="00F7297F">
        <w:rPr>
          <w:rFonts w:ascii="Times New Roman" w:hAnsi="Times New Roman" w:cs="Times New Roman"/>
          <w:b/>
          <w:bCs/>
          <w:color w:val="000000"/>
          <w:sz w:val="26"/>
          <w:szCs w:val="26"/>
        </w:rPr>
        <w:t>НЕГОСУДАРСТВЕННОЕ ОБРАЗОВАТЕЛЬНОЕ ЧАСТНОЕ</w:t>
      </w:r>
      <w:r w:rsidR="005A1347" w:rsidRPr="00F7297F">
        <w:rPr>
          <w:rFonts w:ascii="Times New Roman" w:hAnsi="Times New Roman" w:cs="Times New Roman"/>
          <w:color w:val="000000"/>
          <w:sz w:val="26"/>
          <w:szCs w:val="26"/>
        </w:rPr>
        <w:t xml:space="preserve"> </w:t>
      </w:r>
      <w:r w:rsidR="005A1347" w:rsidRPr="00F7297F">
        <w:rPr>
          <w:rFonts w:ascii="Times New Roman" w:hAnsi="Times New Roman" w:cs="Times New Roman"/>
          <w:b/>
          <w:bCs/>
          <w:color w:val="000000"/>
          <w:sz w:val="26"/>
          <w:szCs w:val="26"/>
        </w:rPr>
        <w:t>УЧРЕЖДЕНИЕ ВЫСШЕГО ОБРАЗОВАНИЯ</w:t>
      </w:r>
      <w:r w:rsidR="005A1347" w:rsidRPr="00F7297F">
        <w:rPr>
          <w:rFonts w:ascii="Times New Roman" w:hAnsi="Times New Roman" w:cs="Times New Roman"/>
          <w:color w:val="000000"/>
          <w:sz w:val="26"/>
          <w:szCs w:val="26"/>
        </w:rPr>
        <w:t xml:space="preserve"> </w:t>
      </w:r>
      <w:r w:rsidR="005A1347" w:rsidRPr="00F7297F">
        <w:rPr>
          <w:rFonts w:ascii="Times New Roman" w:hAnsi="Times New Roman" w:cs="Times New Roman"/>
          <w:b/>
          <w:bCs/>
          <w:color w:val="000000"/>
          <w:sz w:val="26"/>
          <w:szCs w:val="26"/>
        </w:rPr>
        <w:t>«МОСКОВСКИЙ ФИНАНСОВО-ПРОМЫШЛЕННЫЙ УНИВЕРСИТЕТ</w:t>
      </w:r>
      <w:r w:rsidR="005A1347" w:rsidRPr="00F7297F">
        <w:rPr>
          <w:rFonts w:ascii="Times New Roman" w:hAnsi="Times New Roman" w:cs="Times New Roman"/>
          <w:color w:val="000000"/>
          <w:sz w:val="26"/>
          <w:szCs w:val="26"/>
        </w:rPr>
        <w:t xml:space="preserve"> </w:t>
      </w:r>
      <w:r w:rsidR="00FA52BF" w:rsidRPr="00F820C9">
        <w:rPr>
          <w:rFonts w:ascii="Times New Roman" w:hAnsi="Times New Roman" w:cs="Times New Roman"/>
          <w:b/>
          <w:bCs/>
          <w:color w:val="000000"/>
          <w:sz w:val="26"/>
          <w:szCs w:val="26"/>
        </w:rPr>
        <w:t>“</w:t>
      </w:r>
      <w:r w:rsidR="005A1347" w:rsidRPr="00F7297F">
        <w:rPr>
          <w:rFonts w:ascii="Times New Roman" w:hAnsi="Times New Roman" w:cs="Times New Roman"/>
          <w:b/>
          <w:bCs/>
          <w:color w:val="000000"/>
          <w:sz w:val="26"/>
          <w:szCs w:val="26"/>
        </w:rPr>
        <w:t>СИНЕРГИЯ</w:t>
      </w:r>
      <w:r w:rsidR="00FA52BF" w:rsidRPr="00FA52BF">
        <w:rPr>
          <w:rFonts w:ascii="Times New Roman" w:hAnsi="Times New Roman" w:cs="Times New Roman"/>
          <w:b/>
          <w:bCs/>
          <w:color w:val="000000"/>
          <w:sz w:val="26"/>
          <w:szCs w:val="26"/>
        </w:rPr>
        <w:t>”</w:t>
      </w:r>
      <w:r w:rsidR="005A1347" w:rsidRPr="00F7297F">
        <w:rPr>
          <w:rFonts w:ascii="Times New Roman" w:hAnsi="Times New Roman" w:cs="Times New Roman"/>
          <w:b/>
          <w:bCs/>
          <w:color w:val="000000"/>
          <w:sz w:val="26"/>
          <w:szCs w:val="26"/>
        </w:rPr>
        <w:t>»</w:t>
      </w:r>
    </w:p>
    <w:p w14:paraId="005E88F2" w14:textId="77777777" w:rsidR="005A1347" w:rsidRPr="00F7297F" w:rsidRDefault="005A1347" w:rsidP="005A1347">
      <w:pPr>
        <w:spacing w:line="276" w:lineRule="auto"/>
        <w:jc w:val="center"/>
        <w:rPr>
          <w:rFonts w:ascii="Times New Roman" w:hAnsi="Times New Roman" w:cs="Times New Roman"/>
          <w:sz w:val="26"/>
          <w:szCs w:val="26"/>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283"/>
        <w:gridCol w:w="6236"/>
      </w:tblGrid>
      <w:tr w:rsidR="005A1347" w:rsidRPr="00F7297F" w14:paraId="4E75CB8A" w14:textId="77777777" w:rsidTr="001B2838">
        <w:trPr>
          <w:trHeight w:val="340"/>
        </w:trPr>
        <w:tc>
          <w:tcPr>
            <w:tcW w:w="3118" w:type="dxa"/>
          </w:tcPr>
          <w:p w14:paraId="45B8660F" w14:textId="77777777" w:rsidR="005A1347" w:rsidRPr="00F7297F" w:rsidRDefault="005A1347" w:rsidP="005A1347">
            <w:pPr>
              <w:spacing w:line="276" w:lineRule="auto"/>
              <w:jc w:val="center"/>
              <w:rPr>
                <w:rFonts w:ascii="Times New Roman" w:hAnsi="Times New Roman" w:cs="Times New Roman"/>
                <w:sz w:val="26"/>
                <w:szCs w:val="26"/>
              </w:rPr>
            </w:pPr>
            <w:r w:rsidRPr="00F7297F">
              <w:rPr>
                <w:rFonts w:ascii="Times New Roman" w:hAnsi="Times New Roman" w:cs="Times New Roman"/>
                <w:b/>
                <w:bCs/>
                <w:color w:val="000000"/>
                <w:sz w:val="28"/>
                <w:szCs w:val="28"/>
              </w:rPr>
              <w:t>Факультет/Институт</w:t>
            </w:r>
          </w:p>
        </w:tc>
        <w:tc>
          <w:tcPr>
            <w:tcW w:w="283" w:type="dxa"/>
          </w:tcPr>
          <w:p w14:paraId="4E3030FD" w14:textId="77777777" w:rsidR="005A1347" w:rsidRPr="00F7297F" w:rsidRDefault="005A1347" w:rsidP="005A1347">
            <w:pPr>
              <w:spacing w:line="276" w:lineRule="auto"/>
              <w:jc w:val="center"/>
              <w:rPr>
                <w:rFonts w:ascii="Times New Roman" w:hAnsi="Times New Roman" w:cs="Times New Roman"/>
                <w:sz w:val="26"/>
                <w:szCs w:val="26"/>
              </w:rPr>
            </w:pPr>
          </w:p>
        </w:tc>
        <w:tc>
          <w:tcPr>
            <w:tcW w:w="6236" w:type="dxa"/>
            <w:tcBorders>
              <w:bottom w:val="single" w:sz="4" w:space="0" w:color="auto"/>
            </w:tcBorders>
            <w:vAlign w:val="bottom"/>
          </w:tcPr>
          <w:p w14:paraId="29D43EB1" w14:textId="570CFABF" w:rsidR="005A1347" w:rsidRPr="001B2838" w:rsidRDefault="005A1347" w:rsidP="001B2838">
            <w:pPr>
              <w:spacing w:line="276" w:lineRule="auto"/>
              <w:jc w:val="center"/>
              <w:rPr>
                <w:rFonts w:ascii="Times New Roman" w:hAnsi="Times New Roman" w:cs="Times New Roman"/>
                <w:sz w:val="28"/>
                <w:szCs w:val="26"/>
              </w:rPr>
            </w:pPr>
            <w:r>
              <w:rPr>
                <w:rFonts w:ascii="Times New Roman" w:hAnsi="Times New Roman"/>
                <w:b w:val="0"/>
                <w:color w:val="000000"/>
                <w:sz w:val="28"/>
              </w:rPr>
              <w:t>Институт Информационных технологий</w:t>
            </w:r>
          </w:p>
        </w:tc>
      </w:tr>
      <w:tr w:rsidR="005A1347" w:rsidRPr="00F7297F" w14:paraId="23A3062C" w14:textId="77777777" w:rsidTr="005A1347">
        <w:trPr>
          <w:trHeight w:val="340"/>
        </w:trPr>
        <w:tc>
          <w:tcPr>
            <w:tcW w:w="3118" w:type="dxa"/>
          </w:tcPr>
          <w:p w14:paraId="180E52AA" w14:textId="77777777" w:rsidR="005A1347" w:rsidRPr="00F7297F" w:rsidRDefault="005A1347" w:rsidP="005A1347">
            <w:pPr>
              <w:spacing w:line="276" w:lineRule="auto"/>
              <w:jc w:val="center"/>
              <w:rPr>
                <w:rFonts w:ascii="Times New Roman" w:hAnsi="Times New Roman" w:cs="Times New Roman"/>
                <w:sz w:val="26"/>
                <w:szCs w:val="26"/>
              </w:rPr>
            </w:pPr>
          </w:p>
        </w:tc>
        <w:tc>
          <w:tcPr>
            <w:tcW w:w="283" w:type="dxa"/>
          </w:tcPr>
          <w:p w14:paraId="7885FBF3" w14:textId="77777777" w:rsidR="005A1347" w:rsidRPr="00F7297F" w:rsidRDefault="005A1347" w:rsidP="005A1347">
            <w:pPr>
              <w:spacing w:line="276" w:lineRule="auto"/>
              <w:jc w:val="center"/>
              <w:rPr>
                <w:rFonts w:ascii="Times New Roman" w:hAnsi="Times New Roman" w:cs="Times New Roman"/>
                <w:sz w:val="26"/>
                <w:szCs w:val="26"/>
              </w:rPr>
            </w:pPr>
          </w:p>
        </w:tc>
        <w:tc>
          <w:tcPr>
            <w:tcW w:w="6236" w:type="dxa"/>
            <w:tcBorders>
              <w:top w:val="single" w:sz="4" w:space="0" w:color="auto"/>
            </w:tcBorders>
          </w:tcPr>
          <w:p w14:paraId="471FA252" w14:textId="77777777" w:rsidR="005A1347" w:rsidRPr="001B2838" w:rsidRDefault="005A1347" w:rsidP="005A1347">
            <w:pPr>
              <w:spacing w:line="276" w:lineRule="auto"/>
              <w:jc w:val="center"/>
              <w:rPr>
                <w:rFonts w:ascii="Times New Roman" w:hAnsi="Times New Roman" w:cs="Times New Roman"/>
                <w:sz w:val="26"/>
                <w:szCs w:val="26"/>
              </w:rPr>
            </w:pPr>
            <w:r w:rsidRPr="001B2838">
              <w:rPr>
                <w:rFonts w:ascii="Times New Roman" w:hAnsi="Times New Roman" w:cs="Times New Roman"/>
                <w:sz w:val="18"/>
                <w:szCs w:val="18"/>
              </w:rPr>
              <w:t>(наименование факультета/ Института)</w:t>
            </w:r>
          </w:p>
        </w:tc>
      </w:tr>
      <w:tr w:rsidR="005A1347" w:rsidRPr="00F7297F" w14:paraId="5CB10E34" w14:textId="77777777" w:rsidTr="001B2838">
        <w:trPr>
          <w:trHeight w:val="340"/>
        </w:trPr>
        <w:tc>
          <w:tcPr>
            <w:tcW w:w="3118" w:type="dxa"/>
          </w:tcPr>
          <w:p w14:paraId="40308C6B" w14:textId="77777777" w:rsidR="005A1347" w:rsidRPr="00F7297F" w:rsidRDefault="005A1347" w:rsidP="005A1347">
            <w:pPr>
              <w:jc w:val="center"/>
              <w:rPr>
                <w:rFonts w:ascii="Times New Roman" w:hAnsi="Times New Roman" w:cs="Times New Roman"/>
                <w:b/>
                <w:bCs/>
                <w:color w:val="000000"/>
                <w:sz w:val="28"/>
                <w:szCs w:val="28"/>
              </w:rPr>
            </w:pPr>
            <w:r w:rsidRPr="00F7297F">
              <w:rPr>
                <w:rFonts w:ascii="Times New Roman" w:hAnsi="Times New Roman" w:cs="Times New Roman"/>
                <w:b/>
                <w:bCs/>
                <w:color w:val="000000"/>
              </w:rPr>
              <w:t xml:space="preserve">Направление/специальность </w:t>
            </w:r>
          </w:p>
        </w:tc>
        <w:tc>
          <w:tcPr>
            <w:tcW w:w="283" w:type="dxa"/>
          </w:tcPr>
          <w:p w14:paraId="2187B4D2" w14:textId="77777777" w:rsidR="005A1347" w:rsidRPr="00F7297F" w:rsidRDefault="005A1347" w:rsidP="005A1347">
            <w:pPr>
              <w:spacing w:line="276" w:lineRule="auto"/>
              <w:jc w:val="center"/>
              <w:rPr>
                <w:rFonts w:ascii="Times New Roman" w:hAnsi="Times New Roman" w:cs="Times New Roman"/>
                <w:sz w:val="26"/>
                <w:szCs w:val="26"/>
              </w:rPr>
            </w:pPr>
          </w:p>
        </w:tc>
        <w:tc>
          <w:tcPr>
            <w:tcW w:w="6236" w:type="dxa"/>
            <w:tcBorders>
              <w:bottom w:val="single" w:sz="4" w:space="0" w:color="auto"/>
            </w:tcBorders>
            <w:vAlign w:val="center"/>
          </w:tcPr>
          <w:p w14:paraId="6E30AEDC" w14:textId="18E0FBE4" w:rsidR="005A1347" w:rsidRPr="001B2838" w:rsidRDefault="005A1347" w:rsidP="001B2838">
            <w:pPr>
              <w:spacing w:line="276" w:lineRule="auto"/>
              <w:jc w:val="center"/>
              <w:rPr>
                <w:rFonts w:ascii="Times New Roman" w:hAnsi="Times New Roman" w:cs="Times New Roman"/>
                <w:sz w:val="26"/>
                <w:szCs w:val="26"/>
              </w:rPr>
            </w:pPr>
            <w:r>
              <w:rPr>
                <w:rFonts w:ascii="Times New Roman" w:hAnsi="Times New Roman"/>
                <w:b w:val="0"/>
                <w:color w:val="000000"/>
                <w:sz w:val="28"/>
              </w:rPr>
              <w:t>09.03.02 Информационные системы и технологии</w:t>
            </w:r>
          </w:p>
        </w:tc>
      </w:tr>
      <w:tr w:rsidR="005A1347" w:rsidRPr="00F7297F" w14:paraId="662FC3E8" w14:textId="77777777" w:rsidTr="005A1347">
        <w:trPr>
          <w:trHeight w:val="340"/>
        </w:trPr>
        <w:tc>
          <w:tcPr>
            <w:tcW w:w="3118" w:type="dxa"/>
          </w:tcPr>
          <w:p w14:paraId="0F7ACA78" w14:textId="77777777" w:rsidR="005A1347" w:rsidRPr="00F7297F" w:rsidRDefault="005A1347" w:rsidP="005A1347">
            <w:pPr>
              <w:ind w:right="-1"/>
              <w:jc w:val="center"/>
              <w:rPr>
                <w:rFonts w:ascii="Times New Roman" w:hAnsi="Times New Roman" w:cs="Times New Roman"/>
                <w:b/>
                <w:bCs/>
                <w:color w:val="000000"/>
                <w:sz w:val="28"/>
                <w:szCs w:val="28"/>
              </w:rPr>
            </w:pPr>
            <w:r w:rsidRPr="00F7297F">
              <w:rPr>
                <w:rFonts w:ascii="Times New Roman" w:hAnsi="Times New Roman" w:cs="Times New Roman"/>
                <w:b/>
                <w:bCs/>
                <w:color w:val="000000"/>
              </w:rPr>
              <w:t>подготовки:</w:t>
            </w:r>
          </w:p>
        </w:tc>
        <w:tc>
          <w:tcPr>
            <w:tcW w:w="283" w:type="dxa"/>
          </w:tcPr>
          <w:p w14:paraId="74B60E72" w14:textId="77777777" w:rsidR="005A1347" w:rsidRPr="00F7297F" w:rsidRDefault="005A1347" w:rsidP="005A1347">
            <w:pPr>
              <w:spacing w:line="276" w:lineRule="auto"/>
              <w:jc w:val="center"/>
              <w:rPr>
                <w:rFonts w:ascii="Times New Roman" w:hAnsi="Times New Roman" w:cs="Times New Roman"/>
                <w:sz w:val="26"/>
                <w:szCs w:val="26"/>
              </w:rPr>
            </w:pPr>
          </w:p>
        </w:tc>
        <w:tc>
          <w:tcPr>
            <w:tcW w:w="6236" w:type="dxa"/>
            <w:tcBorders>
              <w:top w:val="single" w:sz="4" w:space="0" w:color="auto"/>
            </w:tcBorders>
          </w:tcPr>
          <w:p w14:paraId="075515BE" w14:textId="77777777" w:rsidR="005A1347" w:rsidRPr="001B2838" w:rsidRDefault="005A1347" w:rsidP="005A1347">
            <w:pPr>
              <w:ind w:right="-1"/>
              <w:jc w:val="center"/>
              <w:rPr>
                <w:rFonts w:ascii="Times New Roman" w:hAnsi="Times New Roman" w:cs="Times New Roman"/>
                <w:sz w:val="18"/>
                <w:szCs w:val="18"/>
              </w:rPr>
            </w:pPr>
            <w:r w:rsidRPr="001B2838">
              <w:rPr>
                <w:rFonts w:ascii="Times New Roman" w:hAnsi="Times New Roman" w:cs="Times New Roman"/>
                <w:sz w:val="18"/>
                <w:szCs w:val="18"/>
              </w:rPr>
              <w:t>(код и наименование направления /специальности подготовки)</w:t>
            </w:r>
          </w:p>
        </w:tc>
      </w:tr>
      <w:tr w:rsidR="005A1347" w:rsidRPr="00F7297F" w14:paraId="689DE4F7" w14:textId="77777777" w:rsidTr="001B2838">
        <w:trPr>
          <w:trHeight w:val="340"/>
        </w:trPr>
        <w:tc>
          <w:tcPr>
            <w:tcW w:w="3118" w:type="dxa"/>
          </w:tcPr>
          <w:p w14:paraId="517B89BA" w14:textId="77777777" w:rsidR="005A1347" w:rsidRPr="00F7297F" w:rsidRDefault="005A1347" w:rsidP="005A1347">
            <w:pPr>
              <w:jc w:val="center"/>
              <w:rPr>
                <w:rFonts w:ascii="Times New Roman" w:hAnsi="Times New Roman" w:cs="Times New Roman"/>
                <w:b/>
                <w:bCs/>
                <w:color w:val="000000"/>
                <w:sz w:val="28"/>
                <w:szCs w:val="28"/>
              </w:rPr>
            </w:pPr>
            <w:r w:rsidRPr="00F7297F">
              <w:rPr>
                <w:rFonts w:ascii="Times New Roman" w:hAnsi="Times New Roman" w:cs="Times New Roman"/>
                <w:b/>
                <w:bCs/>
                <w:color w:val="000000"/>
              </w:rPr>
              <w:t>Форма обучения</w:t>
            </w:r>
            <w:r w:rsidRPr="00F7297F">
              <w:rPr>
                <w:rFonts w:ascii="Times New Roman" w:hAnsi="Times New Roman" w:cs="Times New Roman"/>
                <w:b/>
                <w:bCs/>
                <w:color w:val="000000"/>
                <w:sz w:val="28"/>
                <w:szCs w:val="28"/>
              </w:rPr>
              <w:t>:</w:t>
            </w:r>
          </w:p>
        </w:tc>
        <w:tc>
          <w:tcPr>
            <w:tcW w:w="283" w:type="dxa"/>
          </w:tcPr>
          <w:p w14:paraId="0B5F745F" w14:textId="77777777" w:rsidR="005A1347" w:rsidRPr="00F7297F" w:rsidRDefault="005A1347" w:rsidP="005A1347">
            <w:pPr>
              <w:spacing w:line="276" w:lineRule="auto"/>
              <w:jc w:val="center"/>
              <w:rPr>
                <w:rFonts w:ascii="Times New Roman" w:hAnsi="Times New Roman" w:cs="Times New Roman"/>
                <w:sz w:val="26"/>
                <w:szCs w:val="26"/>
              </w:rPr>
            </w:pPr>
          </w:p>
        </w:tc>
        <w:tc>
          <w:tcPr>
            <w:tcW w:w="6236" w:type="dxa"/>
            <w:tcBorders>
              <w:bottom w:val="single" w:sz="4" w:space="0" w:color="auto"/>
            </w:tcBorders>
            <w:vAlign w:val="center"/>
          </w:tcPr>
          <w:p w14:paraId="68002525" w14:textId="0A2C0D75" w:rsidR="005A1347" w:rsidRPr="001B2838" w:rsidRDefault="005A1347" w:rsidP="001B2838">
            <w:pPr>
              <w:jc w:val="center"/>
              <w:rPr>
                <w:rFonts w:ascii="Times New Roman" w:hAnsi="Times New Roman" w:cs="Times New Roman"/>
                <w:sz w:val="24"/>
                <w:szCs w:val="24"/>
              </w:rPr>
            </w:pPr>
            <w:r>
              <w:rPr>
                <w:rFonts w:ascii="Times New Roman" w:hAnsi="Times New Roman"/>
                <w:b w:val="0"/>
                <w:color w:val="000000"/>
                <w:sz w:val="28"/>
              </w:rPr>
              <w:t>Очная</w:t>
            </w:r>
          </w:p>
        </w:tc>
      </w:tr>
      <w:tr w:rsidR="005A1347" w:rsidRPr="00F7297F" w14:paraId="4A8C1BCD" w14:textId="77777777" w:rsidTr="005A1347">
        <w:trPr>
          <w:trHeight w:val="340"/>
        </w:trPr>
        <w:tc>
          <w:tcPr>
            <w:tcW w:w="3118" w:type="dxa"/>
          </w:tcPr>
          <w:p w14:paraId="0C65C07C" w14:textId="77777777" w:rsidR="005A1347" w:rsidRPr="00F7297F" w:rsidRDefault="005A1347" w:rsidP="005A1347">
            <w:pPr>
              <w:spacing w:line="276" w:lineRule="auto"/>
              <w:jc w:val="center"/>
              <w:rPr>
                <w:rFonts w:ascii="Times New Roman" w:hAnsi="Times New Roman" w:cs="Times New Roman"/>
                <w:sz w:val="26"/>
                <w:szCs w:val="26"/>
              </w:rPr>
            </w:pPr>
          </w:p>
        </w:tc>
        <w:tc>
          <w:tcPr>
            <w:tcW w:w="283" w:type="dxa"/>
          </w:tcPr>
          <w:p w14:paraId="369605FA" w14:textId="77777777" w:rsidR="005A1347" w:rsidRPr="00F7297F" w:rsidRDefault="005A1347" w:rsidP="005A1347">
            <w:pPr>
              <w:spacing w:line="276" w:lineRule="auto"/>
              <w:jc w:val="center"/>
              <w:rPr>
                <w:rFonts w:ascii="Times New Roman" w:hAnsi="Times New Roman" w:cs="Times New Roman"/>
                <w:sz w:val="26"/>
                <w:szCs w:val="26"/>
              </w:rPr>
            </w:pPr>
          </w:p>
        </w:tc>
        <w:tc>
          <w:tcPr>
            <w:tcW w:w="6236" w:type="dxa"/>
            <w:tcBorders>
              <w:top w:val="single" w:sz="4" w:space="0" w:color="auto"/>
            </w:tcBorders>
          </w:tcPr>
          <w:p w14:paraId="347012C0" w14:textId="77777777" w:rsidR="005A1347" w:rsidRPr="00F7297F" w:rsidRDefault="005A1347" w:rsidP="005A1347">
            <w:pPr>
              <w:ind w:right="-1"/>
              <w:jc w:val="center"/>
              <w:rPr>
                <w:rFonts w:ascii="Times New Roman" w:hAnsi="Times New Roman" w:cs="Times New Roman"/>
                <w:color w:val="000000"/>
                <w:sz w:val="18"/>
                <w:szCs w:val="18"/>
              </w:rPr>
            </w:pPr>
            <w:r w:rsidRPr="00F7297F">
              <w:rPr>
                <w:rFonts w:ascii="Times New Roman" w:hAnsi="Times New Roman" w:cs="Times New Roman"/>
                <w:color w:val="000000"/>
                <w:sz w:val="18"/>
                <w:szCs w:val="18"/>
              </w:rPr>
              <w:t>(очная, очно-заочная, заочная)</w:t>
            </w:r>
          </w:p>
        </w:tc>
      </w:tr>
      <w:tr w:rsidR="005A1347" w:rsidRPr="00F7297F" w14:paraId="444617F3" w14:textId="77777777" w:rsidTr="005A1347">
        <w:trPr>
          <w:trHeight w:val="340"/>
        </w:trPr>
        <w:tc>
          <w:tcPr>
            <w:tcW w:w="3118" w:type="dxa"/>
          </w:tcPr>
          <w:p w14:paraId="7C136F52" w14:textId="77777777" w:rsidR="005A1347" w:rsidRPr="00F7297F" w:rsidRDefault="005A1347" w:rsidP="005A1347">
            <w:pPr>
              <w:spacing w:line="276" w:lineRule="auto"/>
              <w:jc w:val="center"/>
              <w:rPr>
                <w:rFonts w:ascii="Times New Roman" w:hAnsi="Times New Roman" w:cs="Times New Roman"/>
                <w:sz w:val="26"/>
                <w:szCs w:val="26"/>
              </w:rPr>
            </w:pPr>
          </w:p>
        </w:tc>
        <w:tc>
          <w:tcPr>
            <w:tcW w:w="283" w:type="dxa"/>
          </w:tcPr>
          <w:p w14:paraId="10A2938E" w14:textId="77777777" w:rsidR="005A1347" w:rsidRPr="00F7297F" w:rsidRDefault="005A1347" w:rsidP="005A1347">
            <w:pPr>
              <w:spacing w:line="276" w:lineRule="auto"/>
              <w:jc w:val="center"/>
              <w:rPr>
                <w:rFonts w:ascii="Times New Roman" w:hAnsi="Times New Roman" w:cs="Times New Roman"/>
                <w:sz w:val="26"/>
                <w:szCs w:val="26"/>
              </w:rPr>
            </w:pPr>
          </w:p>
        </w:tc>
        <w:tc>
          <w:tcPr>
            <w:tcW w:w="6236" w:type="dxa"/>
          </w:tcPr>
          <w:p w14:paraId="48035E51" w14:textId="77777777" w:rsidR="005A1347" w:rsidRPr="00F7297F" w:rsidRDefault="005A1347" w:rsidP="005A1347">
            <w:pPr>
              <w:spacing w:line="276" w:lineRule="auto"/>
              <w:jc w:val="center"/>
              <w:rPr>
                <w:rFonts w:ascii="Times New Roman" w:hAnsi="Times New Roman" w:cs="Times New Roman"/>
                <w:sz w:val="26"/>
                <w:szCs w:val="26"/>
              </w:rPr>
            </w:pPr>
          </w:p>
        </w:tc>
      </w:tr>
    </w:tbl>
    <w:p w14:paraId="5011ACE7" w14:textId="77777777" w:rsidR="005A1347" w:rsidRPr="00F7297F" w:rsidRDefault="005A1347" w:rsidP="005A1347">
      <w:pPr>
        <w:spacing w:line="276" w:lineRule="auto"/>
        <w:jc w:val="center"/>
        <w:rPr>
          <w:rFonts w:ascii="Times New Roman" w:hAnsi="Times New Roman" w:cs="Times New Roman"/>
          <w:sz w:val="28"/>
          <w:szCs w:val="26"/>
        </w:rPr>
      </w:pPr>
    </w:p>
    <w:p w14:paraId="5122FBC6" w14:textId="77777777" w:rsidR="005A1347" w:rsidRPr="00F7297F" w:rsidRDefault="005A1347" w:rsidP="005A1347">
      <w:pPr>
        <w:spacing w:line="276" w:lineRule="auto"/>
        <w:jc w:val="center"/>
        <w:rPr>
          <w:rFonts w:ascii="Times New Roman" w:hAnsi="Times New Roman" w:cs="Times New Roman"/>
          <w:sz w:val="26"/>
          <w:szCs w:val="26"/>
        </w:rPr>
      </w:pPr>
    </w:p>
    <w:p w14:paraId="4621BD4F" w14:textId="77777777" w:rsidR="005A1347" w:rsidRPr="00F7297F" w:rsidRDefault="005A1347" w:rsidP="005A1347">
      <w:pPr>
        <w:pStyle w:val="Title"/>
        <w:spacing w:line="276" w:lineRule="auto"/>
        <w:jc w:val="center"/>
        <w:rPr>
          <w:rFonts w:ascii="Times New Roman" w:hAnsi="Times New Roman" w:cs="Times New Roman"/>
          <w:b/>
          <w:bCs/>
          <w:color w:val="FF0000"/>
          <w:sz w:val="28"/>
          <w:szCs w:val="28"/>
        </w:rPr>
      </w:pPr>
      <w:r>
        <w:rPr>
          <w:rFonts w:ascii="Times New Roman" w:hAnsi="Times New Roman" w:eastAsia="Times New Roman"/>
          <w:b/>
          <w:color w:val="000000"/>
          <w:sz w:val="32"/>
        </w:rPr>
        <w:t>Отчет по лабораторной работе №3</w:t>
      </w:r>
    </w:p>
    <w:tbl>
      <w:tblPr>
        <w:tblStyle w:val="a3"/>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283"/>
        <w:gridCol w:w="568"/>
        <w:gridCol w:w="283"/>
        <w:gridCol w:w="7087"/>
      </w:tblGrid>
      <w:tr w:rsidR="005A1347" w:rsidRPr="00F7297F" w14:paraId="58540E98" w14:textId="77777777" w:rsidTr="00D66D97">
        <w:tc>
          <w:tcPr>
            <w:tcW w:w="1417" w:type="dxa"/>
          </w:tcPr>
          <w:p w14:paraId="17686C7F" w14:textId="77777777" w:rsidR="005A1347" w:rsidRPr="00F7297F" w:rsidRDefault="005A1347" w:rsidP="00F878E8">
            <w:pPr>
              <w:spacing w:line="276" w:lineRule="auto"/>
              <w:rPr>
                <w:rFonts w:ascii="Times New Roman" w:hAnsi="Times New Roman" w:cs="Times New Roman"/>
                <w:sz w:val="26"/>
                <w:szCs w:val="26"/>
              </w:rPr>
            </w:pPr>
            <w:r w:rsidRPr="00F7297F">
              <w:rPr>
                <w:rFonts w:ascii="Times New Roman" w:hAnsi="Times New Roman" w:cs="Times New Roman"/>
                <w:b/>
                <w:bCs/>
                <w:color w:val="000000"/>
                <w:sz w:val="28"/>
                <w:szCs w:val="28"/>
              </w:rPr>
              <w:t>на тему</w:t>
            </w:r>
          </w:p>
        </w:tc>
        <w:tc>
          <w:tcPr>
            <w:tcW w:w="283" w:type="dxa"/>
          </w:tcPr>
          <w:p w14:paraId="1C171416" w14:textId="77777777" w:rsidR="005A1347" w:rsidRPr="00F7297F" w:rsidRDefault="005A1347" w:rsidP="005A1347">
            <w:pPr>
              <w:spacing w:line="276" w:lineRule="auto"/>
              <w:jc w:val="center"/>
              <w:rPr>
                <w:rFonts w:ascii="Times New Roman" w:hAnsi="Times New Roman" w:cs="Times New Roman"/>
                <w:sz w:val="26"/>
                <w:szCs w:val="26"/>
              </w:rPr>
            </w:pPr>
          </w:p>
        </w:tc>
        <w:tc>
          <w:tcPr>
            <w:tcW w:w="7938" w:type="dxa"/>
            <w:gridSpan w:val="3"/>
            <w:tcBorders>
              <w:bottom w:val="single" w:sz="4" w:space="0" w:color="auto"/>
            </w:tcBorders>
            <w:vAlign w:val="bottom"/>
          </w:tcPr>
          <w:p>
            <w:pPr>
              <w:jc w:val="center"/>
            </w:pPr>
            <w:r>
              <w:rPr>
                <w:rFonts w:ascii="Times New Roman" w:hAnsi="Times New Roman" w:eastAsia="Times New Roman"/>
                <w:b/>
                <w:color w:val="000000"/>
                <w:sz w:val="28"/>
              </w:rPr>
              <w:t>Построение IDEF0 и UML/ER-диаграмм</w:t>
            </w:r>
          </w:p>
        </w:tc>
      </w:tr>
      <w:tr w:rsidR="005A1347" w:rsidRPr="00F7297F" w14:paraId="069F0146" w14:textId="77777777" w:rsidTr="001F58C2">
        <w:tc>
          <w:tcPr>
            <w:tcW w:w="1417" w:type="dxa"/>
          </w:tcPr>
          <w:p w14:paraId="2BC0C6B8" w14:textId="77777777" w:rsidR="005A1347" w:rsidRPr="00F7297F" w:rsidRDefault="005A1347" w:rsidP="005A1347">
            <w:pPr>
              <w:spacing w:line="276" w:lineRule="auto"/>
              <w:jc w:val="center"/>
              <w:rPr>
                <w:rFonts w:ascii="Times New Roman" w:hAnsi="Times New Roman" w:cs="Times New Roman"/>
                <w:sz w:val="26"/>
                <w:szCs w:val="26"/>
              </w:rPr>
            </w:pPr>
          </w:p>
        </w:tc>
        <w:tc>
          <w:tcPr>
            <w:tcW w:w="283" w:type="dxa"/>
          </w:tcPr>
          <w:p w14:paraId="1D945118" w14:textId="77777777" w:rsidR="005A1347" w:rsidRPr="00F7297F" w:rsidRDefault="005A1347" w:rsidP="005A1347">
            <w:pPr>
              <w:spacing w:line="276" w:lineRule="auto"/>
              <w:jc w:val="center"/>
              <w:rPr>
                <w:rFonts w:ascii="Times New Roman" w:hAnsi="Times New Roman" w:cs="Times New Roman"/>
                <w:sz w:val="26"/>
                <w:szCs w:val="26"/>
              </w:rPr>
            </w:pPr>
          </w:p>
        </w:tc>
        <w:tc>
          <w:tcPr>
            <w:tcW w:w="7938" w:type="dxa"/>
            <w:gridSpan w:val="3"/>
            <w:tcBorders>
              <w:top w:val="single" w:sz="4" w:space="0" w:color="auto"/>
            </w:tcBorders>
          </w:tcPr>
          <w:p w14:paraId="5DF7CDCC" w14:textId="77777777" w:rsidR="005A1347" w:rsidRPr="00F7297F" w:rsidRDefault="005A1347" w:rsidP="005A1347">
            <w:pPr>
              <w:spacing w:line="276" w:lineRule="auto"/>
              <w:jc w:val="center"/>
              <w:rPr>
                <w:rFonts w:ascii="Times New Roman" w:hAnsi="Times New Roman" w:cs="Times New Roman"/>
                <w:sz w:val="26"/>
                <w:szCs w:val="26"/>
              </w:rPr>
            </w:pPr>
            <w:r w:rsidRPr="00F7297F">
              <w:rPr>
                <w:rFonts w:ascii="Times New Roman" w:hAnsi="Times New Roman" w:cs="Times New Roman"/>
                <w:sz w:val="18"/>
                <w:szCs w:val="18"/>
              </w:rPr>
              <w:t>(наименование темы)</w:t>
            </w:r>
          </w:p>
        </w:tc>
      </w:tr>
      <w:tr w:rsidR="005A1347" w:rsidRPr="00F7297F" w14:paraId="1F88FF91" w14:textId="77777777" w:rsidTr="001F58C2">
        <w:tc>
          <w:tcPr>
            <w:tcW w:w="1417" w:type="dxa"/>
          </w:tcPr>
          <w:p w14:paraId="1D009F11" w14:textId="77777777" w:rsidR="005A1347" w:rsidRPr="00F7297F" w:rsidRDefault="005A1347" w:rsidP="005A1347">
            <w:pPr>
              <w:spacing w:line="276" w:lineRule="auto"/>
              <w:jc w:val="center"/>
              <w:rPr>
                <w:rFonts w:ascii="Times New Roman" w:hAnsi="Times New Roman" w:cs="Times New Roman"/>
                <w:sz w:val="26"/>
                <w:szCs w:val="26"/>
              </w:rPr>
            </w:pPr>
          </w:p>
        </w:tc>
        <w:tc>
          <w:tcPr>
            <w:tcW w:w="283" w:type="dxa"/>
          </w:tcPr>
          <w:p w14:paraId="3BE31157" w14:textId="77777777" w:rsidR="005A1347" w:rsidRPr="00F7297F" w:rsidRDefault="005A1347" w:rsidP="005A1347">
            <w:pPr>
              <w:spacing w:line="276" w:lineRule="auto"/>
              <w:jc w:val="center"/>
              <w:rPr>
                <w:rFonts w:ascii="Times New Roman" w:hAnsi="Times New Roman" w:cs="Times New Roman"/>
                <w:sz w:val="26"/>
                <w:szCs w:val="26"/>
              </w:rPr>
            </w:pPr>
          </w:p>
        </w:tc>
        <w:tc>
          <w:tcPr>
            <w:tcW w:w="7938" w:type="dxa"/>
            <w:gridSpan w:val="3"/>
            <w:tcBorders>
              <w:bottom w:val="single" w:sz="4" w:space="0" w:color="auto"/>
            </w:tcBorders>
          </w:tcPr>
          <w:p>
            <w:r/>
          </w:p>
        </w:tc>
      </w:tr>
      <w:tr w:rsidR="005A1347" w:rsidRPr="00F7297F" w14:paraId="6E3B47D3" w14:textId="77777777" w:rsidTr="001F58C2">
        <w:tc>
          <w:tcPr>
            <w:tcW w:w="2268" w:type="dxa"/>
            <w:gridSpan w:val="3"/>
          </w:tcPr>
          <w:p w14:paraId="65C1289A" w14:textId="77777777" w:rsidR="00F878E8" w:rsidRPr="00F7297F" w:rsidRDefault="00F878E8" w:rsidP="00F878E8">
            <w:pPr>
              <w:spacing w:line="276" w:lineRule="auto"/>
              <w:rPr>
                <w:rFonts w:ascii="Times New Roman" w:hAnsi="Times New Roman" w:cs="Times New Roman"/>
                <w:b/>
                <w:bCs/>
                <w:color w:val="000000"/>
                <w:sz w:val="30"/>
                <w:szCs w:val="28"/>
              </w:rPr>
            </w:pPr>
          </w:p>
          <w:p w14:paraId="3E3F8E5C" w14:textId="77777777" w:rsidR="005A1347" w:rsidRPr="00F7297F" w:rsidRDefault="005A1347" w:rsidP="00F878E8">
            <w:pPr>
              <w:spacing w:line="276" w:lineRule="auto"/>
              <w:rPr>
                <w:rFonts w:ascii="Times New Roman" w:hAnsi="Times New Roman" w:cs="Times New Roman"/>
                <w:sz w:val="26"/>
                <w:szCs w:val="26"/>
              </w:rPr>
            </w:pPr>
            <w:r w:rsidRPr="00F7297F">
              <w:rPr>
                <w:rFonts w:ascii="Times New Roman" w:hAnsi="Times New Roman" w:cs="Times New Roman"/>
                <w:b/>
                <w:bCs/>
                <w:color w:val="000000"/>
                <w:sz w:val="30"/>
                <w:szCs w:val="28"/>
              </w:rPr>
              <w:t>по дисциплине</w:t>
            </w:r>
          </w:p>
        </w:tc>
        <w:tc>
          <w:tcPr>
            <w:tcW w:w="283" w:type="dxa"/>
            <w:tcBorders>
              <w:top w:val="single" w:sz="4" w:space="0" w:color="auto"/>
            </w:tcBorders>
          </w:tcPr>
          <w:p w14:paraId="27454746" w14:textId="77777777" w:rsidR="005A1347" w:rsidRPr="00F7297F" w:rsidRDefault="005A1347" w:rsidP="005A1347">
            <w:pPr>
              <w:spacing w:line="276" w:lineRule="auto"/>
              <w:jc w:val="center"/>
              <w:rPr>
                <w:rFonts w:ascii="Times New Roman" w:hAnsi="Times New Roman" w:cs="Times New Roman"/>
                <w:sz w:val="26"/>
                <w:szCs w:val="26"/>
              </w:rPr>
            </w:pPr>
          </w:p>
        </w:tc>
        <w:tc>
          <w:tcPr>
            <w:tcW w:w="7087" w:type="dxa"/>
            <w:tcBorders>
              <w:top w:val="single" w:sz="4" w:space="0" w:color="auto"/>
              <w:bottom w:val="single" w:sz="4" w:space="0" w:color="auto"/>
            </w:tcBorders>
            <w:vAlign w:val="bottom"/>
          </w:tcPr>
          <w:p w14:paraId="27CC18D4" w14:textId="77777777" w:rsidR="00F878E8" w:rsidRPr="00F7297F" w:rsidRDefault="00F878E8" w:rsidP="00D66D97">
            <w:pPr>
              <w:spacing w:line="276" w:lineRule="auto"/>
              <w:jc w:val="center"/>
              <w:rPr>
                <w:rFonts w:ascii="Times New Roman" w:hAnsi="Times New Roman" w:cs="Times New Roman"/>
                <w:color w:val="000000"/>
                <w:sz w:val="28"/>
                <w:szCs w:val="28"/>
              </w:rPr>
            </w:pPr>
          </w:p>
          <w:p w14:paraId="5BE15308" w14:textId="71CBF2AC" w:rsidR="005A1347" w:rsidRPr="004B2CA7" w:rsidRDefault="00B250A8" w:rsidP="00D66D97">
            <w:pPr>
              <w:spacing w:line="276" w:lineRule="auto"/>
              <w:jc w:val="center"/>
              <w:rPr>
                <w:rFonts w:ascii="Times New Roman" w:hAnsi="Times New Roman" w:cs="Times New Roman"/>
                <w:sz w:val="28"/>
                <w:szCs w:val="26"/>
              </w:rPr>
            </w:pPr>
            <w:r>
              <w:rPr>
                <w:rFonts w:ascii="Times New Roman" w:hAnsi="Times New Roman" w:cs="Times New Roman"/>
                <w:b/>
                <w:sz w:val="28"/>
                <w:szCs w:val="26"/>
              </w:rPr>
              <w:t>Коллективная разработка приложений</w:t>
            </w:r>
          </w:p>
        </w:tc>
      </w:tr>
      <w:tr w:rsidR="005A1347" w:rsidRPr="00F7297F" w14:paraId="7CCC912C" w14:textId="77777777" w:rsidTr="00F878E8">
        <w:tc>
          <w:tcPr>
            <w:tcW w:w="2268" w:type="dxa"/>
            <w:gridSpan w:val="3"/>
          </w:tcPr>
          <w:p w14:paraId="733F5565" w14:textId="77777777" w:rsidR="005A1347" w:rsidRPr="00F7297F" w:rsidRDefault="005A1347" w:rsidP="005A1347">
            <w:pPr>
              <w:spacing w:line="276" w:lineRule="auto"/>
              <w:jc w:val="center"/>
              <w:rPr>
                <w:rFonts w:ascii="Times New Roman" w:hAnsi="Times New Roman" w:cs="Times New Roman"/>
                <w:sz w:val="26"/>
                <w:szCs w:val="26"/>
              </w:rPr>
            </w:pPr>
          </w:p>
        </w:tc>
        <w:tc>
          <w:tcPr>
            <w:tcW w:w="283" w:type="dxa"/>
          </w:tcPr>
          <w:p w14:paraId="5FBC0BAF" w14:textId="77777777" w:rsidR="005A1347" w:rsidRPr="00F7297F" w:rsidRDefault="005A1347" w:rsidP="005A1347">
            <w:pPr>
              <w:spacing w:line="276" w:lineRule="auto"/>
              <w:jc w:val="center"/>
              <w:rPr>
                <w:rFonts w:ascii="Times New Roman" w:hAnsi="Times New Roman" w:cs="Times New Roman"/>
                <w:sz w:val="26"/>
                <w:szCs w:val="26"/>
              </w:rPr>
            </w:pPr>
          </w:p>
        </w:tc>
        <w:tc>
          <w:tcPr>
            <w:tcW w:w="7087" w:type="dxa"/>
            <w:tcBorders>
              <w:top w:val="single" w:sz="4" w:space="0" w:color="auto"/>
            </w:tcBorders>
          </w:tcPr>
          <w:p w14:paraId="4C192C7D" w14:textId="77777777" w:rsidR="005A1347" w:rsidRPr="00F7297F" w:rsidRDefault="005A1347" w:rsidP="005A1347">
            <w:pPr>
              <w:spacing w:line="276" w:lineRule="auto"/>
              <w:jc w:val="center"/>
              <w:rPr>
                <w:rFonts w:ascii="Times New Roman" w:hAnsi="Times New Roman" w:cs="Times New Roman"/>
                <w:sz w:val="26"/>
                <w:szCs w:val="26"/>
              </w:rPr>
            </w:pPr>
            <w:r w:rsidRPr="00F7297F">
              <w:rPr>
                <w:rFonts w:ascii="Times New Roman" w:hAnsi="Times New Roman" w:cs="Times New Roman"/>
                <w:color w:val="000000"/>
                <w:sz w:val="18"/>
                <w:szCs w:val="18"/>
              </w:rPr>
              <w:t>(наименование дисциплины)</w:t>
            </w:r>
          </w:p>
        </w:tc>
      </w:tr>
    </w:tbl>
    <w:p w14:paraId="4EEA360D" w14:textId="77777777" w:rsidR="00CC2372" w:rsidRPr="00F7297F" w:rsidRDefault="00CC2372" w:rsidP="005A1347">
      <w:pPr>
        <w:spacing w:line="276" w:lineRule="auto"/>
        <w:jc w:val="center"/>
        <w:rPr>
          <w:rFonts w:ascii="Times New Roman" w:hAnsi="Times New Roman" w:cs="Times New Roman"/>
          <w:sz w:val="18"/>
          <w:szCs w:val="26"/>
        </w:rPr>
      </w:pPr>
    </w:p>
    <w:p w14:paraId="0A286E50" w14:textId="77777777" w:rsidR="00CC2372" w:rsidRPr="00F7297F" w:rsidRDefault="00CC2372" w:rsidP="005A1347">
      <w:pPr>
        <w:spacing w:line="276" w:lineRule="auto"/>
        <w:jc w:val="center"/>
        <w:rPr>
          <w:rFonts w:ascii="Times New Roman" w:hAnsi="Times New Roman" w:cs="Times New Roman"/>
          <w:sz w:val="26"/>
          <w:szCs w:val="26"/>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1"/>
        <w:gridCol w:w="283"/>
        <w:gridCol w:w="5046"/>
        <w:gridCol w:w="283"/>
        <w:gridCol w:w="1930"/>
      </w:tblGrid>
      <w:tr w:rsidR="00CC2372" w:rsidRPr="00F7297F" w14:paraId="28EFC43F" w14:textId="77777777" w:rsidTr="00D66D97">
        <w:tc>
          <w:tcPr>
            <w:tcW w:w="2061" w:type="dxa"/>
          </w:tcPr>
          <w:p w14:paraId="4C1CA185" w14:textId="77777777" w:rsidR="00CC2372" w:rsidRPr="00F7297F" w:rsidRDefault="00CC2372" w:rsidP="00CC2372">
            <w:pPr>
              <w:rPr>
                <w:rFonts w:ascii="Times New Roman" w:hAnsi="Times New Roman" w:cs="Times New Roman"/>
                <w:b/>
                <w:bCs/>
                <w:color w:val="000000"/>
                <w:sz w:val="28"/>
                <w:szCs w:val="28"/>
              </w:rPr>
            </w:pPr>
            <w:r w:rsidRPr="00F7297F">
              <w:rPr>
                <w:rFonts w:ascii="Times New Roman" w:hAnsi="Times New Roman" w:cs="Times New Roman"/>
                <w:b/>
                <w:bCs/>
                <w:color w:val="000000"/>
                <w:sz w:val="28"/>
                <w:szCs w:val="28"/>
              </w:rPr>
              <w:t>Обучающийся</w:t>
            </w:r>
          </w:p>
        </w:tc>
        <w:tc>
          <w:tcPr>
            <w:tcW w:w="283" w:type="dxa"/>
          </w:tcPr>
          <w:p w14:paraId="016D3679" w14:textId="77777777" w:rsidR="00CC2372" w:rsidRPr="00F7297F" w:rsidRDefault="00CC2372" w:rsidP="00CC2372">
            <w:pPr>
              <w:spacing w:line="276" w:lineRule="auto"/>
              <w:jc w:val="center"/>
              <w:rPr>
                <w:rFonts w:ascii="Times New Roman" w:hAnsi="Times New Roman" w:cs="Times New Roman"/>
                <w:sz w:val="26"/>
                <w:szCs w:val="26"/>
              </w:rPr>
            </w:pPr>
          </w:p>
        </w:tc>
        <w:tc>
          <w:tcPr>
            <w:tcW w:w="5046" w:type="dxa"/>
            <w:tcBorders>
              <w:bottom w:val="single" w:sz="4" w:space="0" w:color="auto"/>
            </w:tcBorders>
            <w:vAlign w:val="bottom"/>
          </w:tcPr>
          <w:p w14:paraId="55CF7A8D" w14:textId="77777777" w:rsidR="00CC2372" w:rsidRPr="00F7297F" w:rsidRDefault="00CC2372" w:rsidP="00D66D97">
            <w:pPr>
              <w:spacing w:line="276" w:lineRule="auto"/>
              <w:jc w:val="center"/>
              <w:rPr>
                <w:rFonts w:ascii="Times New Roman" w:hAnsi="Times New Roman" w:cs="Times New Roman"/>
                <w:sz w:val="26"/>
                <w:szCs w:val="26"/>
              </w:rPr>
            </w:pPr>
            <w:r>
              <w:rPr>
                <w:rFonts w:ascii="Times New Roman" w:hAnsi="Times New Roman"/>
                <w:b w:val="0"/>
                <w:color w:val="000000"/>
                <w:sz w:val="28"/>
              </w:rPr>
              <w:t>Тишин М. С.</w:t>
            </w:r>
          </w:p>
        </w:tc>
        <w:tc>
          <w:tcPr>
            <w:tcW w:w="283" w:type="dxa"/>
          </w:tcPr>
          <w:p w14:paraId="139D4EB7" w14:textId="77777777" w:rsidR="00CC2372" w:rsidRPr="00F7297F" w:rsidRDefault="00CC2372" w:rsidP="00CC2372">
            <w:pPr>
              <w:spacing w:line="276" w:lineRule="auto"/>
              <w:jc w:val="center"/>
              <w:rPr>
                <w:rFonts w:ascii="Times New Roman" w:hAnsi="Times New Roman" w:cs="Times New Roman"/>
                <w:sz w:val="26"/>
                <w:szCs w:val="26"/>
              </w:rPr>
            </w:pPr>
          </w:p>
        </w:tc>
        <w:tc>
          <w:tcPr>
            <w:tcW w:w="1930" w:type="dxa"/>
            <w:tcBorders>
              <w:bottom w:val="single" w:sz="4" w:space="0" w:color="auto"/>
            </w:tcBorders>
          </w:tcPr>
          <w:p w14:paraId="14E1791B" w14:textId="77777777" w:rsidR="00CC2372" w:rsidRPr="00F7297F" w:rsidRDefault="00CC2372" w:rsidP="00CC2372">
            <w:pPr>
              <w:spacing w:line="276" w:lineRule="auto"/>
              <w:jc w:val="center"/>
              <w:rPr>
                <w:rFonts w:ascii="Times New Roman" w:hAnsi="Times New Roman" w:cs="Times New Roman"/>
                <w:sz w:val="26"/>
                <w:szCs w:val="26"/>
              </w:rPr>
            </w:pPr>
          </w:p>
        </w:tc>
      </w:tr>
      <w:tr w:rsidR="00CC2372" w:rsidRPr="00F7297F" w14:paraId="2BE7D446" w14:textId="77777777" w:rsidTr="00CC2372">
        <w:tc>
          <w:tcPr>
            <w:tcW w:w="2061" w:type="dxa"/>
          </w:tcPr>
          <w:p w14:paraId="11486AA6" w14:textId="77777777" w:rsidR="00CC2372" w:rsidRPr="00F7297F" w:rsidRDefault="00CC2372" w:rsidP="00CC2372">
            <w:pPr>
              <w:spacing w:line="276" w:lineRule="auto"/>
              <w:rPr>
                <w:rFonts w:ascii="Times New Roman" w:hAnsi="Times New Roman" w:cs="Times New Roman"/>
                <w:sz w:val="26"/>
                <w:szCs w:val="26"/>
              </w:rPr>
            </w:pPr>
          </w:p>
        </w:tc>
        <w:tc>
          <w:tcPr>
            <w:tcW w:w="283" w:type="dxa"/>
          </w:tcPr>
          <w:p w14:paraId="223019E7" w14:textId="77777777" w:rsidR="00CC2372" w:rsidRPr="00F7297F" w:rsidRDefault="00CC2372" w:rsidP="00CC2372">
            <w:pPr>
              <w:spacing w:line="276" w:lineRule="auto"/>
              <w:jc w:val="center"/>
              <w:rPr>
                <w:rFonts w:ascii="Times New Roman" w:hAnsi="Times New Roman" w:cs="Times New Roman"/>
                <w:sz w:val="26"/>
                <w:szCs w:val="26"/>
              </w:rPr>
            </w:pPr>
          </w:p>
        </w:tc>
        <w:tc>
          <w:tcPr>
            <w:tcW w:w="5046" w:type="dxa"/>
            <w:tcBorders>
              <w:top w:val="single" w:sz="4" w:space="0" w:color="auto"/>
            </w:tcBorders>
          </w:tcPr>
          <w:p w14:paraId="2A5E8438" w14:textId="77777777" w:rsidR="00CC2372" w:rsidRPr="00F7297F" w:rsidRDefault="00CC2372" w:rsidP="00CC2372">
            <w:pPr>
              <w:spacing w:line="276" w:lineRule="auto"/>
              <w:jc w:val="center"/>
              <w:rPr>
                <w:rFonts w:ascii="Times New Roman" w:hAnsi="Times New Roman" w:cs="Times New Roman"/>
                <w:sz w:val="26"/>
                <w:szCs w:val="26"/>
              </w:rPr>
            </w:pPr>
            <w:r w:rsidRPr="00F7297F">
              <w:rPr>
                <w:rFonts w:ascii="Times New Roman" w:hAnsi="Times New Roman" w:cs="Times New Roman"/>
                <w:color w:val="000000"/>
                <w:sz w:val="16"/>
                <w:szCs w:val="16"/>
              </w:rPr>
              <w:t>(ФИО)</w:t>
            </w:r>
          </w:p>
        </w:tc>
        <w:tc>
          <w:tcPr>
            <w:tcW w:w="283" w:type="dxa"/>
          </w:tcPr>
          <w:p w14:paraId="07030EE5" w14:textId="77777777" w:rsidR="00CC2372" w:rsidRPr="00F7297F" w:rsidRDefault="00CC2372" w:rsidP="00CC2372">
            <w:pPr>
              <w:spacing w:line="276" w:lineRule="auto"/>
              <w:jc w:val="center"/>
              <w:rPr>
                <w:rFonts w:ascii="Times New Roman" w:hAnsi="Times New Roman" w:cs="Times New Roman"/>
                <w:sz w:val="26"/>
                <w:szCs w:val="26"/>
              </w:rPr>
            </w:pPr>
          </w:p>
        </w:tc>
        <w:tc>
          <w:tcPr>
            <w:tcW w:w="1930" w:type="dxa"/>
            <w:tcBorders>
              <w:top w:val="single" w:sz="4" w:space="0" w:color="auto"/>
            </w:tcBorders>
          </w:tcPr>
          <w:p w14:paraId="1B5F23A9" w14:textId="77777777" w:rsidR="00CC2372" w:rsidRPr="00F7297F" w:rsidRDefault="00CC2372" w:rsidP="00CC2372">
            <w:pPr>
              <w:spacing w:line="276" w:lineRule="auto"/>
              <w:jc w:val="center"/>
              <w:rPr>
                <w:rFonts w:ascii="Times New Roman" w:hAnsi="Times New Roman" w:cs="Times New Roman"/>
                <w:sz w:val="26"/>
                <w:szCs w:val="26"/>
              </w:rPr>
            </w:pPr>
            <w:r w:rsidRPr="00F7297F">
              <w:rPr>
                <w:rFonts w:ascii="Times New Roman" w:hAnsi="Times New Roman" w:cs="Times New Roman"/>
                <w:color w:val="000000"/>
                <w:sz w:val="16"/>
                <w:szCs w:val="16"/>
              </w:rPr>
              <w:t>(подпись)</w:t>
            </w:r>
          </w:p>
        </w:tc>
      </w:tr>
      <w:tr w:rsidR="00CC2372" w:rsidRPr="00F7297F" w14:paraId="59D13134" w14:textId="77777777" w:rsidTr="00D66D97">
        <w:tc>
          <w:tcPr>
            <w:tcW w:w="2061" w:type="dxa"/>
          </w:tcPr>
          <w:p w14:paraId="77C75F03" w14:textId="77777777" w:rsidR="00CC2372" w:rsidRPr="00F7297F" w:rsidRDefault="00CC2372" w:rsidP="00CC2372">
            <w:pPr>
              <w:spacing w:line="276" w:lineRule="auto"/>
              <w:rPr>
                <w:rFonts w:ascii="Times New Roman" w:hAnsi="Times New Roman" w:cs="Times New Roman"/>
                <w:sz w:val="26"/>
                <w:szCs w:val="26"/>
              </w:rPr>
            </w:pPr>
            <w:r w:rsidRPr="00F7297F">
              <w:rPr>
                <w:rFonts w:ascii="Times New Roman" w:hAnsi="Times New Roman" w:cs="Times New Roman"/>
                <w:b/>
                <w:bCs/>
                <w:color w:val="000000"/>
                <w:sz w:val="28"/>
                <w:szCs w:val="28"/>
              </w:rPr>
              <w:t>Группа</w:t>
            </w:r>
          </w:p>
        </w:tc>
        <w:tc>
          <w:tcPr>
            <w:tcW w:w="283" w:type="dxa"/>
          </w:tcPr>
          <w:p w14:paraId="3694F146" w14:textId="77777777" w:rsidR="00CC2372" w:rsidRPr="00F7297F" w:rsidRDefault="00CC2372" w:rsidP="00CC2372">
            <w:pPr>
              <w:spacing w:line="276" w:lineRule="auto"/>
              <w:jc w:val="center"/>
              <w:rPr>
                <w:rFonts w:ascii="Times New Roman" w:hAnsi="Times New Roman" w:cs="Times New Roman"/>
                <w:sz w:val="26"/>
                <w:szCs w:val="26"/>
              </w:rPr>
            </w:pPr>
          </w:p>
        </w:tc>
        <w:tc>
          <w:tcPr>
            <w:tcW w:w="5046" w:type="dxa"/>
            <w:tcBorders>
              <w:bottom w:val="single" w:sz="4" w:space="0" w:color="auto"/>
            </w:tcBorders>
            <w:vAlign w:val="bottom"/>
          </w:tcPr>
          <w:p w14:paraId="0AF8D596" w14:textId="27FC68E6" w:rsidR="00CC2372" w:rsidRPr="00F7297F" w:rsidRDefault="00CC2372" w:rsidP="007D370F">
            <w:pPr>
              <w:spacing w:line="276" w:lineRule="auto"/>
              <w:jc w:val="center"/>
              <w:rPr>
                <w:rFonts w:ascii="Times New Roman" w:hAnsi="Times New Roman" w:cs="Times New Roman"/>
                <w:sz w:val="26"/>
                <w:szCs w:val="26"/>
              </w:rPr>
            </w:pPr>
            <w:r>
              <w:rPr>
                <w:rFonts w:ascii="Times New Roman" w:hAnsi="Times New Roman"/>
                <w:b w:val="0"/>
                <w:color w:val="000000"/>
                <w:sz w:val="28"/>
              </w:rPr>
              <w:t>ВБИо-401рсоб</w:t>
            </w:r>
          </w:p>
        </w:tc>
        <w:tc>
          <w:tcPr>
            <w:tcW w:w="283" w:type="dxa"/>
          </w:tcPr>
          <w:p w14:paraId="07269617" w14:textId="77777777" w:rsidR="00CC2372" w:rsidRPr="00F7297F" w:rsidRDefault="00CC2372" w:rsidP="00CC2372">
            <w:pPr>
              <w:spacing w:line="276" w:lineRule="auto"/>
              <w:jc w:val="center"/>
              <w:rPr>
                <w:rFonts w:ascii="Times New Roman" w:hAnsi="Times New Roman" w:cs="Times New Roman"/>
                <w:sz w:val="26"/>
                <w:szCs w:val="26"/>
              </w:rPr>
            </w:pPr>
          </w:p>
        </w:tc>
        <w:tc>
          <w:tcPr>
            <w:tcW w:w="1930" w:type="dxa"/>
          </w:tcPr>
          <w:p w14:paraId="6E58A57A" w14:textId="77777777" w:rsidR="00CC2372" w:rsidRPr="00F7297F" w:rsidRDefault="00CC2372" w:rsidP="00CC2372">
            <w:pPr>
              <w:spacing w:line="276" w:lineRule="auto"/>
              <w:jc w:val="center"/>
              <w:rPr>
                <w:rFonts w:ascii="Times New Roman" w:hAnsi="Times New Roman" w:cs="Times New Roman"/>
                <w:sz w:val="26"/>
                <w:szCs w:val="26"/>
              </w:rPr>
            </w:pPr>
          </w:p>
        </w:tc>
      </w:tr>
      <w:tr w:rsidR="00CC2372" w:rsidRPr="00F7297F" w14:paraId="3C9D3530" w14:textId="77777777" w:rsidTr="00CC2372">
        <w:tc>
          <w:tcPr>
            <w:tcW w:w="2061" w:type="dxa"/>
          </w:tcPr>
          <w:p w14:paraId="495989B5" w14:textId="77777777" w:rsidR="00CC2372" w:rsidRPr="00F7297F" w:rsidRDefault="00CC2372" w:rsidP="00CC2372">
            <w:pPr>
              <w:spacing w:line="276" w:lineRule="auto"/>
              <w:rPr>
                <w:rFonts w:ascii="Times New Roman" w:hAnsi="Times New Roman" w:cs="Times New Roman"/>
                <w:sz w:val="26"/>
                <w:szCs w:val="26"/>
              </w:rPr>
            </w:pPr>
          </w:p>
        </w:tc>
        <w:tc>
          <w:tcPr>
            <w:tcW w:w="283" w:type="dxa"/>
          </w:tcPr>
          <w:p w14:paraId="0B04BB3A" w14:textId="77777777" w:rsidR="00CC2372" w:rsidRPr="00F7297F" w:rsidRDefault="00CC2372" w:rsidP="00CC2372">
            <w:pPr>
              <w:spacing w:line="276" w:lineRule="auto"/>
              <w:jc w:val="center"/>
              <w:rPr>
                <w:rFonts w:ascii="Times New Roman" w:hAnsi="Times New Roman" w:cs="Times New Roman"/>
                <w:sz w:val="26"/>
                <w:szCs w:val="26"/>
              </w:rPr>
            </w:pPr>
          </w:p>
        </w:tc>
        <w:tc>
          <w:tcPr>
            <w:tcW w:w="5046" w:type="dxa"/>
            <w:tcBorders>
              <w:top w:val="single" w:sz="4" w:space="0" w:color="auto"/>
            </w:tcBorders>
          </w:tcPr>
          <w:p w14:paraId="4F8F44B6" w14:textId="77777777" w:rsidR="00CC2372" w:rsidRPr="00F7297F" w:rsidRDefault="00CC2372" w:rsidP="00CC2372">
            <w:pPr>
              <w:spacing w:line="276" w:lineRule="auto"/>
              <w:jc w:val="center"/>
              <w:rPr>
                <w:rFonts w:ascii="Times New Roman" w:hAnsi="Times New Roman" w:cs="Times New Roman"/>
                <w:sz w:val="26"/>
                <w:szCs w:val="26"/>
              </w:rPr>
            </w:pPr>
          </w:p>
        </w:tc>
        <w:tc>
          <w:tcPr>
            <w:tcW w:w="283" w:type="dxa"/>
          </w:tcPr>
          <w:p w14:paraId="464BCD23" w14:textId="77777777" w:rsidR="00CC2372" w:rsidRPr="00F7297F" w:rsidRDefault="00CC2372" w:rsidP="00CC2372">
            <w:pPr>
              <w:spacing w:line="276" w:lineRule="auto"/>
              <w:jc w:val="center"/>
              <w:rPr>
                <w:rFonts w:ascii="Times New Roman" w:hAnsi="Times New Roman" w:cs="Times New Roman"/>
                <w:sz w:val="26"/>
                <w:szCs w:val="26"/>
              </w:rPr>
            </w:pPr>
          </w:p>
        </w:tc>
        <w:tc>
          <w:tcPr>
            <w:tcW w:w="1930" w:type="dxa"/>
          </w:tcPr>
          <w:p w14:paraId="65099B71" w14:textId="77777777" w:rsidR="00CC2372" w:rsidRPr="00F7297F" w:rsidRDefault="00CC2372" w:rsidP="00CC2372">
            <w:pPr>
              <w:spacing w:line="276" w:lineRule="auto"/>
              <w:jc w:val="center"/>
              <w:rPr>
                <w:rFonts w:ascii="Times New Roman" w:hAnsi="Times New Roman" w:cs="Times New Roman"/>
                <w:sz w:val="26"/>
                <w:szCs w:val="26"/>
              </w:rPr>
            </w:pPr>
          </w:p>
        </w:tc>
      </w:tr>
    </w:tbl>
    <w:p w14:paraId="760E44EE" w14:textId="77777777" w:rsidR="00CC2372" w:rsidRPr="00F7297F" w:rsidRDefault="00CC2372" w:rsidP="005A1347">
      <w:pPr>
        <w:spacing w:line="276" w:lineRule="auto"/>
        <w:jc w:val="center"/>
        <w:rPr>
          <w:rFonts w:ascii="Times New Roman" w:hAnsi="Times New Roman" w:cs="Times New Roman"/>
          <w:sz w:val="26"/>
          <w:szCs w:val="26"/>
        </w:rPr>
      </w:pPr>
    </w:p>
    <w:p w14:paraId="1C775E24" w14:textId="77777777" w:rsidR="00CC2372" w:rsidRPr="00F7297F" w:rsidRDefault="00CC2372" w:rsidP="005A1347">
      <w:pPr>
        <w:spacing w:line="276" w:lineRule="auto"/>
        <w:jc w:val="center"/>
        <w:rPr>
          <w:rFonts w:ascii="Times New Roman" w:hAnsi="Times New Roman" w:cs="Times New Roman"/>
          <w:sz w:val="26"/>
          <w:szCs w:val="26"/>
        </w:rPr>
      </w:pPr>
    </w:p>
    <w:tbl>
      <w:tblPr>
        <w:tblStyle w:val="a3"/>
        <w:tblW w:w="95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283"/>
        <w:gridCol w:w="4932"/>
        <w:gridCol w:w="283"/>
        <w:gridCol w:w="1918"/>
      </w:tblGrid>
      <w:tr w:rsidR="00CC2372" w:rsidRPr="00F7297F" w14:paraId="392625C4" w14:textId="77777777" w:rsidTr="00D66D97">
        <w:tc>
          <w:tcPr>
            <w:tcW w:w="2155" w:type="dxa"/>
          </w:tcPr>
          <w:p w14:paraId="2A635256" w14:textId="77777777" w:rsidR="00CC2372" w:rsidRPr="00F7297F" w:rsidRDefault="00CC2372" w:rsidP="00CC2372">
            <w:pPr>
              <w:spacing w:line="276" w:lineRule="auto"/>
              <w:rPr>
                <w:rFonts w:ascii="Times New Roman" w:hAnsi="Times New Roman" w:cs="Times New Roman"/>
                <w:sz w:val="26"/>
                <w:szCs w:val="26"/>
              </w:rPr>
            </w:pPr>
            <w:r w:rsidRPr="00F7297F">
              <w:rPr>
                <w:rFonts w:ascii="Times New Roman" w:hAnsi="Times New Roman" w:cs="Times New Roman"/>
                <w:b/>
                <w:bCs/>
                <w:color w:val="000000"/>
                <w:sz w:val="28"/>
                <w:szCs w:val="28"/>
              </w:rPr>
              <w:t>Преподаватель</w:t>
            </w:r>
          </w:p>
        </w:tc>
        <w:tc>
          <w:tcPr>
            <w:tcW w:w="283" w:type="dxa"/>
          </w:tcPr>
          <w:p w14:paraId="3F5A7D1E" w14:textId="77777777" w:rsidR="00CC2372" w:rsidRPr="00F7297F" w:rsidRDefault="00CC2372" w:rsidP="005A1347">
            <w:pPr>
              <w:spacing w:line="276" w:lineRule="auto"/>
              <w:jc w:val="center"/>
              <w:rPr>
                <w:rFonts w:ascii="Times New Roman" w:hAnsi="Times New Roman" w:cs="Times New Roman"/>
                <w:sz w:val="26"/>
                <w:szCs w:val="26"/>
              </w:rPr>
            </w:pPr>
          </w:p>
        </w:tc>
        <w:tc>
          <w:tcPr>
            <w:tcW w:w="4932" w:type="dxa"/>
            <w:tcBorders>
              <w:bottom w:val="single" w:sz="4" w:space="0" w:color="auto"/>
            </w:tcBorders>
            <w:vAlign w:val="bottom"/>
          </w:tcPr>
          <w:p w14:paraId="0D7EB381" w14:textId="7ABDFA0A" w:rsidR="00CC2372" w:rsidRPr="00146378" w:rsidRDefault="00146378" w:rsidP="00D66D97">
            <w:pPr>
              <w:spacing w:line="276" w:lineRule="auto"/>
              <w:jc w:val="center"/>
              <w:rPr>
                <w:rFonts w:ascii="Times New Roman" w:hAnsi="Times New Roman" w:cs="Times New Roman"/>
                <w:sz w:val="26"/>
                <w:szCs w:val="26"/>
              </w:rPr>
            </w:pPr>
            <w:r>
              <w:rPr>
                <w:rFonts w:ascii="Times New Roman" w:hAnsi="Times New Roman" w:cs="Times New Roman"/>
                <w:sz w:val="26"/>
                <w:szCs w:val="26"/>
              </w:rPr>
              <w:t>Скопин В. И.</w:t>
            </w:r>
          </w:p>
        </w:tc>
        <w:tc>
          <w:tcPr>
            <w:tcW w:w="283" w:type="dxa"/>
          </w:tcPr>
          <w:p w14:paraId="50B919E7" w14:textId="77777777" w:rsidR="00CC2372" w:rsidRPr="00F7297F" w:rsidRDefault="00CC2372" w:rsidP="005A1347">
            <w:pPr>
              <w:spacing w:line="276" w:lineRule="auto"/>
              <w:jc w:val="center"/>
              <w:rPr>
                <w:rFonts w:ascii="Times New Roman" w:hAnsi="Times New Roman" w:cs="Times New Roman"/>
                <w:sz w:val="26"/>
                <w:szCs w:val="26"/>
              </w:rPr>
            </w:pPr>
          </w:p>
        </w:tc>
        <w:tc>
          <w:tcPr>
            <w:tcW w:w="1918" w:type="dxa"/>
            <w:tcBorders>
              <w:bottom w:val="single" w:sz="4" w:space="0" w:color="auto"/>
            </w:tcBorders>
          </w:tcPr>
          <w:p w14:paraId="68239C0A" w14:textId="77777777" w:rsidR="00CC2372" w:rsidRPr="00F7297F" w:rsidRDefault="00CC2372" w:rsidP="005A1347">
            <w:pPr>
              <w:spacing w:line="276" w:lineRule="auto"/>
              <w:jc w:val="center"/>
              <w:rPr>
                <w:rFonts w:ascii="Times New Roman" w:hAnsi="Times New Roman" w:cs="Times New Roman"/>
                <w:sz w:val="26"/>
                <w:szCs w:val="26"/>
              </w:rPr>
            </w:pPr>
          </w:p>
        </w:tc>
      </w:tr>
      <w:tr w:rsidR="00CC2372" w:rsidRPr="00F7297F" w14:paraId="20C863A3" w14:textId="77777777" w:rsidTr="00CC2372">
        <w:tc>
          <w:tcPr>
            <w:tcW w:w="2155" w:type="dxa"/>
          </w:tcPr>
          <w:p w14:paraId="0783ACE5" w14:textId="77777777" w:rsidR="00CC2372" w:rsidRPr="00F7297F" w:rsidRDefault="00CC2372" w:rsidP="005A1347">
            <w:pPr>
              <w:spacing w:line="276" w:lineRule="auto"/>
              <w:jc w:val="center"/>
              <w:rPr>
                <w:rFonts w:ascii="Times New Roman" w:hAnsi="Times New Roman" w:cs="Times New Roman"/>
                <w:sz w:val="26"/>
                <w:szCs w:val="26"/>
              </w:rPr>
            </w:pPr>
          </w:p>
        </w:tc>
        <w:tc>
          <w:tcPr>
            <w:tcW w:w="283" w:type="dxa"/>
          </w:tcPr>
          <w:p w14:paraId="618C74C0" w14:textId="77777777" w:rsidR="00CC2372" w:rsidRPr="00F7297F" w:rsidRDefault="00CC2372" w:rsidP="005A1347">
            <w:pPr>
              <w:spacing w:line="276" w:lineRule="auto"/>
              <w:jc w:val="center"/>
              <w:rPr>
                <w:rFonts w:ascii="Times New Roman" w:hAnsi="Times New Roman" w:cs="Times New Roman"/>
                <w:sz w:val="26"/>
                <w:szCs w:val="26"/>
              </w:rPr>
            </w:pPr>
          </w:p>
        </w:tc>
        <w:tc>
          <w:tcPr>
            <w:tcW w:w="4932" w:type="dxa"/>
            <w:tcBorders>
              <w:top w:val="single" w:sz="4" w:space="0" w:color="auto"/>
            </w:tcBorders>
          </w:tcPr>
          <w:p w14:paraId="6467E65B" w14:textId="77777777" w:rsidR="00CC2372" w:rsidRPr="00F7297F" w:rsidRDefault="00CC2372" w:rsidP="005A1347">
            <w:pPr>
              <w:spacing w:line="276" w:lineRule="auto"/>
              <w:jc w:val="center"/>
              <w:rPr>
                <w:rFonts w:ascii="Times New Roman" w:hAnsi="Times New Roman" w:cs="Times New Roman"/>
                <w:sz w:val="26"/>
                <w:szCs w:val="26"/>
              </w:rPr>
            </w:pPr>
            <w:r w:rsidRPr="00F7297F">
              <w:rPr>
                <w:rFonts w:ascii="Times New Roman" w:hAnsi="Times New Roman" w:cs="Times New Roman"/>
                <w:color w:val="000000"/>
                <w:sz w:val="16"/>
                <w:szCs w:val="16"/>
              </w:rPr>
              <w:t>(ФИО)</w:t>
            </w:r>
          </w:p>
        </w:tc>
        <w:tc>
          <w:tcPr>
            <w:tcW w:w="283" w:type="dxa"/>
          </w:tcPr>
          <w:p w14:paraId="00FD0D86" w14:textId="77777777" w:rsidR="00CC2372" w:rsidRPr="00F7297F" w:rsidRDefault="00CC2372" w:rsidP="005A1347">
            <w:pPr>
              <w:spacing w:line="276" w:lineRule="auto"/>
              <w:jc w:val="center"/>
              <w:rPr>
                <w:rFonts w:ascii="Times New Roman" w:hAnsi="Times New Roman" w:cs="Times New Roman"/>
                <w:sz w:val="26"/>
                <w:szCs w:val="26"/>
              </w:rPr>
            </w:pPr>
          </w:p>
        </w:tc>
        <w:tc>
          <w:tcPr>
            <w:tcW w:w="1918" w:type="dxa"/>
            <w:tcBorders>
              <w:top w:val="single" w:sz="4" w:space="0" w:color="auto"/>
            </w:tcBorders>
          </w:tcPr>
          <w:p w14:paraId="06FC86B4" w14:textId="77777777" w:rsidR="00CC2372" w:rsidRPr="00F7297F" w:rsidRDefault="00CC2372" w:rsidP="005A1347">
            <w:pPr>
              <w:spacing w:line="276" w:lineRule="auto"/>
              <w:jc w:val="center"/>
              <w:rPr>
                <w:rFonts w:ascii="Times New Roman" w:hAnsi="Times New Roman" w:cs="Times New Roman"/>
                <w:sz w:val="26"/>
                <w:szCs w:val="26"/>
              </w:rPr>
            </w:pPr>
            <w:r w:rsidRPr="00F7297F">
              <w:rPr>
                <w:rFonts w:ascii="Times New Roman" w:hAnsi="Times New Roman" w:cs="Times New Roman"/>
                <w:color w:val="000000"/>
                <w:sz w:val="16"/>
                <w:szCs w:val="16"/>
              </w:rPr>
              <w:t>(подпись)</w:t>
            </w:r>
          </w:p>
        </w:tc>
      </w:tr>
    </w:tbl>
    <w:p w14:paraId="42A324B1" w14:textId="77777777" w:rsidR="00CC2372" w:rsidRPr="00F7297F" w:rsidRDefault="00CC2372" w:rsidP="00CC2372">
      <w:pPr>
        <w:spacing w:line="276" w:lineRule="auto"/>
        <w:jc w:val="center"/>
        <w:rPr>
          <w:rFonts w:ascii="Times New Roman" w:hAnsi="Times New Roman" w:cs="Times New Roman"/>
          <w:sz w:val="26"/>
          <w:szCs w:val="26"/>
        </w:rPr>
      </w:pPr>
    </w:p>
    <w:p w14:paraId="07C36C8A" w14:textId="77777777" w:rsidR="00CC2372" w:rsidRPr="00F7297F" w:rsidRDefault="00CC2372" w:rsidP="00CC2372">
      <w:pPr>
        <w:spacing w:line="276" w:lineRule="auto"/>
        <w:jc w:val="center"/>
        <w:rPr>
          <w:rFonts w:ascii="Times New Roman" w:hAnsi="Times New Roman" w:cs="Times New Roman"/>
          <w:sz w:val="26"/>
          <w:szCs w:val="26"/>
        </w:rPr>
      </w:pPr>
    </w:p>
    <w:p w14:paraId="6F2797D6" w14:textId="77777777" w:rsidR="00CC2372" w:rsidRPr="00F7297F" w:rsidRDefault="00CC2372" w:rsidP="00CC2372">
      <w:pPr>
        <w:spacing w:line="276" w:lineRule="auto"/>
        <w:jc w:val="center"/>
        <w:rPr>
          <w:rFonts w:ascii="Times New Roman" w:hAnsi="Times New Roman" w:cs="Times New Roman"/>
          <w:sz w:val="26"/>
          <w:szCs w:val="26"/>
        </w:rPr>
      </w:pPr>
    </w:p>
    <w:p w14:paraId="5CF8E54D" w14:textId="0DCCA125" w:rsidR="00F7297F" w:rsidRPr="00F7297F" w:rsidRDefault="00CC2372" w:rsidP="00CC2372">
      <w:pPr>
        <w:spacing w:line="276" w:lineRule="auto"/>
        <w:jc w:val="center"/>
        <w:rPr>
          <w:rFonts w:ascii="Times New Roman" w:hAnsi="Times New Roman" w:cs="Times New Roman"/>
          <w:b/>
          <w:bCs/>
          <w:color w:val="000000"/>
          <w:sz w:val="28"/>
          <w:szCs w:val="28"/>
        </w:rPr>
      </w:pPr>
      <w:r w:rsidRPr="00F7297F">
        <w:rPr>
          <w:rFonts w:ascii="Times New Roman" w:hAnsi="Times New Roman" w:cs="Times New Roman"/>
          <w:b/>
          <w:bCs/>
          <w:color w:val="000000"/>
          <w:sz w:val="28"/>
          <w:szCs w:val="28"/>
        </w:rPr>
        <w:t>Москва 202</w:t>
      </w:r>
      <w:r w:rsidR="00146378">
        <w:rPr>
          <w:rFonts w:ascii="Times New Roman" w:hAnsi="Times New Roman" w:cs="Times New Roman"/>
          <w:b/>
          <w:bCs/>
          <w:color w:val="000000"/>
          <w:sz w:val="28"/>
          <w:szCs w:val="28"/>
        </w:rPr>
        <w:t>6</w:t>
      </w:r>
      <w:r w:rsidRPr="00F7297F">
        <w:rPr>
          <w:rFonts w:ascii="Times New Roman" w:hAnsi="Times New Roman" w:cs="Times New Roman"/>
          <w:b/>
          <w:bCs/>
          <w:color w:val="000000"/>
          <w:sz w:val="28"/>
          <w:szCs w:val="28"/>
        </w:rPr>
        <w:t xml:space="preserve"> г.</w:t>
      </w:r>
    </w:p>
    <w:p>
      <w:pPr>
        <w:sectPr>
          <w:pgSz w:w="11906" w:h="16838"/>
          <w:pgMar w:top="567" w:right="680" w:bottom="567" w:left="1418" w:header="708" w:footer="708" w:gutter="0"/>
          <w:cols w:space="708"/>
          <w:docGrid w:linePitch="360"/>
        </w:sectPr>
      </w:pPr>
    </w:p>
    <w:p>
      <w:pPr>
        <w:pStyle w:val="Title"/>
        <w:jc w:val="center"/>
      </w:pPr>
      <w:r>
        <w:rPr>
          <w:rFonts w:ascii="Times New Roman" w:hAnsi="Times New Roman" w:eastAsia="Times New Roman"/>
          <w:b/>
          <w:color w:val="000000"/>
          <w:sz w:val="32"/>
        </w:rPr>
        <w:t>Лабораторная работа 3</w:t>
      </w:r>
    </w:p>
    <w:p>
      <w:pPr>
        <w:pStyle w:val="Heading1"/>
        <w:spacing w:before="160" w:after="100"/>
        <w:ind w:firstLine="0"/>
      </w:pPr>
      <w:r>
        <w:rPr>
          <w:rFonts w:ascii="Times New Roman" w:hAnsi="Times New Roman" w:eastAsia="Times New Roman"/>
          <w:b/>
          <w:color w:val="000000"/>
          <w:sz w:val="32"/>
        </w:rPr>
        <w:t>Цель работы</w:t>
      </w:r>
    </w:p>
    <w:p>
      <w:pPr>
        <w:spacing w:line="276" w:lineRule="auto" w:after="120"/>
        <w:ind w:firstLine="709"/>
        <w:jc w:val="both"/>
      </w:pPr>
      <w:r>
        <w:rPr>
          <w:rFonts w:ascii="Times New Roman" w:hAnsi="Times New Roman" w:eastAsia="Times New Roman"/>
          <w:b w:val="0"/>
          <w:color w:val="000000"/>
          <w:sz w:val="28"/>
        </w:rPr>
        <w:t>Освоить современные средства построения диаграмм и разработать функциональную модель IDEF0 и ER-модель выбранной предметной области. Показать состав функций, входы, выходы, управляющие воздействия и механизмы, а также сущности, атрибуты и кардинальности связей.</w:t>
      </w:r>
    </w:p>
    <w:p>
      <w:pPr>
        <w:pStyle w:val="Heading1"/>
        <w:spacing w:before="160" w:after="100"/>
        <w:ind w:firstLine="0"/>
      </w:pPr>
      <w:r>
        <w:rPr>
          <w:rFonts w:ascii="Times New Roman" w:hAnsi="Times New Roman" w:eastAsia="Times New Roman"/>
          <w:b/>
          <w:color w:val="000000"/>
          <w:sz w:val="32"/>
        </w:rPr>
        <w:t>Описание предметной области</w:t>
      </w:r>
    </w:p>
    <w:p>
      <w:pPr>
        <w:spacing w:line="276" w:lineRule="auto" w:after="120"/>
        <w:ind w:firstLine="709"/>
        <w:jc w:val="both"/>
      </w:pPr>
      <w:r>
        <w:rPr>
          <w:rFonts w:ascii="Times New Roman" w:hAnsi="Times New Roman" w:eastAsia="Times New Roman"/>
          <w:b w:val="0"/>
          <w:color w:val="000000"/>
          <w:sz w:val="28"/>
        </w:rPr>
        <w:t>Библиотечная система предназначена для учёта книжного фонда и обслуживания читателей в нескольких филиалах. Каждое издание описывается названием, издательством, авторами и тематическими категориями. Одному изданию могут соответствовать несколько физических экземпляров с разными инвентарными номерами. Экземпляры размещаются на полках конкретных филиалов. Читатели регистрируются в системе и получают читательские билеты. Для нужного издания читатель может оставить заявку на бронирование в выбранном филиале. Библиотекарь проверяет право на получение книг и оформляет выдачу с установленным сроком возврата. После возврата система закрывает позицию выдачи, определяет просрочку, учитывает начисленный штраф и поступившие платежи.</w:t>
      </w:r>
    </w:p>
    <w:p>
      <w:pPr>
        <w:pStyle w:val="Heading1"/>
        <w:spacing w:before="160" w:after="100"/>
        <w:ind w:firstLine="0"/>
      </w:pPr>
      <w:r>
        <w:rPr>
          <w:rFonts w:ascii="Times New Roman" w:hAnsi="Times New Roman" w:eastAsia="Times New Roman"/>
          <w:b/>
          <w:color w:val="000000"/>
          <w:sz w:val="32"/>
        </w:rPr>
        <w:t>Границы и средства моделирования</w:t>
      </w:r>
    </w:p>
    <w:p>
      <w:pPr>
        <w:spacing w:line="276" w:lineRule="auto" w:after="120"/>
        <w:ind w:firstLine="709"/>
        <w:jc w:val="both"/>
      </w:pPr>
      <w:r>
        <w:rPr>
          <w:rFonts w:ascii="Times New Roman" w:hAnsi="Times New Roman" w:eastAsia="Times New Roman"/>
          <w:b w:val="0"/>
          <w:color w:val="000000"/>
          <w:sz w:val="28"/>
        </w:rPr>
        <w:t>Предметная область развивает библиотечный каталог лабораторной работы 2: к изданиям и авторам добавлены хранение экземпляров, читатели, бронирования, выдачи и расчёты. Модель рассматривает работу персонала и информационной системы с точки зрения заведующего библиотекой. Составлены шесть диаграмм IDEF0 и ER-диаграмма из 16 сущностей.</w:t>
      </w:r>
    </w:p>
    <w:p>
      <w:pPr>
        <w:spacing w:line="276" w:lineRule="auto" w:after="120"/>
        <w:ind w:firstLine="709"/>
        <w:jc w:val="both"/>
      </w:pPr>
      <w:r>
        <w:rPr>
          <w:rFonts w:ascii="Times New Roman" w:hAnsi="Times New Roman" w:eastAsia="Times New Roman"/>
          <w:b w:val="0"/>
          <w:color w:val="000000"/>
          <w:sz w:val="28"/>
        </w:rPr>
        <w:t>IDEF0 подготовлена в редактируемом формате Diagrams.net draw.io, ER-модель — в PlantUML 1.2026.8. Диаграммы экспортированы в SVG и PNG. Схема данных проверена на SQLite 3.53.1; проверочные сценарии выполнены на Python 3.12.14.</w:t>
      </w:r>
    </w:p>
    <w:p>
      <w:r>
        <w:br w:type="page"/>
      </w:r>
    </w:p>
    <w:p>
      <w:pPr>
        <w:pStyle w:val="Heading1"/>
        <w:spacing w:before="160" w:after="100"/>
        <w:ind w:firstLine="0"/>
      </w:pPr>
      <w:r>
        <w:rPr>
          <w:rFonts w:ascii="Times New Roman" w:hAnsi="Times New Roman" w:eastAsia="Times New Roman"/>
          <w:b/>
          <w:color w:val="000000"/>
          <w:sz w:val="32"/>
        </w:rPr>
        <w:t>Функции системы</w:t>
      </w:r>
    </w:p>
    <w:p>
      <w:pPr>
        <w:pStyle w:val="Heading2"/>
        <w:spacing w:before="160" w:after="100"/>
        <w:ind w:firstLine="0"/>
      </w:pPr>
      <w:r>
        <w:rPr>
          <w:rFonts w:ascii="Times New Roman" w:hAnsi="Times New Roman" w:eastAsia="Times New Roman"/>
          <w:b/>
          <w:color w:val="000000"/>
          <w:sz w:val="28"/>
        </w:rPr>
        <w:t>A1 Управление библиотечным фондом</w:t>
      </w:r>
    </w:p>
    <w:p>
      <w:pPr>
        <w:spacing w:line="276" w:lineRule="auto" w:after="120"/>
        <w:ind w:firstLine="709"/>
        <w:jc w:val="both"/>
      </w:pPr>
      <w:r>
        <w:rPr>
          <w:rFonts w:ascii="Times New Roman" w:hAnsi="Times New Roman" w:eastAsia="Times New Roman"/>
          <w:b w:val="0"/>
          <w:color w:val="000000"/>
          <w:sz w:val="28"/>
        </w:rPr>
        <w:t>Проверить поступившие книги, создать библиографические записи, связать их с авторами и категориями, присвоить инвентарные номера и разместить экземпляры на полках. Результат включает каталог и учтённые экземпляры фонда.</w:t>
      </w:r>
    </w:p>
    <w:p>
      <w:pPr>
        <w:pStyle w:val="Heading2"/>
        <w:spacing w:before="160" w:after="100"/>
        <w:ind w:firstLine="0"/>
      </w:pPr>
      <w:r>
        <w:rPr>
          <w:rFonts w:ascii="Times New Roman" w:hAnsi="Times New Roman" w:eastAsia="Times New Roman"/>
          <w:b/>
          <w:color w:val="000000"/>
          <w:sz w:val="28"/>
        </w:rPr>
        <w:t>A2 Обслуживание читателей и бронирований</w:t>
      </w:r>
    </w:p>
    <w:p>
      <w:pPr>
        <w:spacing w:line="276" w:lineRule="auto" w:after="120"/>
        <w:ind w:firstLine="709"/>
        <w:jc w:val="both"/>
      </w:pPr>
      <w:r>
        <w:rPr>
          <w:rFonts w:ascii="Times New Roman" w:hAnsi="Times New Roman" w:eastAsia="Times New Roman"/>
          <w:b w:val="0"/>
          <w:color w:val="000000"/>
          <w:sz w:val="28"/>
        </w:rPr>
        <w:t>Зарегистрировать читателя, найти нужное издание и сформировать бронирование. Проверить статус читателя, задолженность и условия обслуживания. Сформировать читательские документы и проверенный запрос на выдачу.</w:t>
      </w:r>
    </w:p>
    <w:p>
      <w:pPr>
        <w:pStyle w:val="Heading2"/>
        <w:spacing w:before="160" w:after="100"/>
        <w:ind w:firstLine="0"/>
      </w:pPr>
      <w:r>
        <w:rPr>
          <w:rFonts w:ascii="Times New Roman" w:hAnsi="Times New Roman" w:eastAsia="Times New Roman"/>
          <w:b/>
          <w:color w:val="000000"/>
          <w:sz w:val="28"/>
        </w:rPr>
        <w:t>A3 Оформление и выполнение выдачи</w:t>
      </w:r>
    </w:p>
    <w:p>
      <w:pPr>
        <w:spacing w:line="276" w:lineRule="auto" w:after="120"/>
        <w:ind w:firstLine="709"/>
        <w:jc w:val="both"/>
      </w:pPr>
      <w:r>
        <w:rPr>
          <w:rFonts w:ascii="Times New Roman" w:hAnsi="Times New Roman" w:eastAsia="Times New Roman"/>
          <w:b w:val="0"/>
          <w:color w:val="000000"/>
          <w:sz w:val="28"/>
        </w:rPr>
        <w:t>Подобрать доступные экземпляры для проверенного запроса, оформить документ выдачи и срок возврата, затем передать книги читателю. Сведения о выдаче используются при последующем возврате.</w:t>
      </w:r>
    </w:p>
    <w:p>
      <w:pPr>
        <w:pStyle w:val="Heading2"/>
        <w:spacing w:before="160" w:after="100"/>
        <w:ind w:firstLine="0"/>
      </w:pPr>
      <w:r>
        <w:rPr>
          <w:rFonts w:ascii="Times New Roman" w:hAnsi="Times New Roman" w:eastAsia="Times New Roman"/>
          <w:b/>
          <w:color w:val="000000"/>
          <w:sz w:val="28"/>
        </w:rPr>
        <w:t>A4 Возврат и расчёты</w:t>
      </w:r>
    </w:p>
    <w:p>
      <w:pPr>
        <w:spacing w:line="276" w:lineRule="auto" w:after="120"/>
        <w:ind w:firstLine="709"/>
        <w:jc w:val="both"/>
      </w:pPr>
      <w:r>
        <w:rPr>
          <w:rFonts w:ascii="Times New Roman" w:hAnsi="Times New Roman" w:eastAsia="Times New Roman"/>
          <w:b w:val="0"/>
          <w:color w:val="000000"/>
          <w:sz w:val="28"/>
        </w:rPr>
        <w:t>Принять возвращённый экземпляр, проверить его состояние, закрыть позицию выдачи и при просрочке начислить штраф. Учесть платежи, сформировать документы и обновить сведения о задолженности. Пригодный экземпляр снова становится доступным для выдачи.</w:t>
      </w:r>
    </w:p>
    <w:p>
      <w:pPr>
        <w:pStyle w:val="Heading1"/>
        <w:spacing w:before="160" w:after="100"/>
        <w:ind w:firstLine="0"/>
      </w:pPr>
      <w:r>
        <w:rPr>
          <w:rFonts w:ascii="Times New Roman" w:hAnsi="Times New Roman" w:eastAsia="Times New Roman"/>
          <w:b/>
          <w:color w:val="000000"/>
          <w:sz w:val="32"/>
        </w:rPr>
        <w:t>Чтение диаграмм</w:t>
      </w:r>
    </w:p>
    <w:p>
      <w:pPr>
        <w:spacing w:line="276" w:lineRule="auto" w:after="120"/>
        <w:ind w:firstLine="709"/>
        <w:jc w:val="both"/>
      </w:pPr>
      <w:r>
        <w:rPr>
          <w:rFonts w:ascii="Times New Roman" w:hAnsi="Times New Roman" w:eastAsia="Times New Roman"/>
          <w:b w:val="0"/>
          <w:color w:val="000000"/>
          <w:sz w:val="28"/>
        </w:rPr>
        <w:t>Входы I входят в левую сторону блока, управление C — в верхнюю, выходы O покидают правую сторону, механизмы M подходят снизу. Полные названия граничных и внутренних стрелок приведены в легенде справа. Коды I1, O1, C1 и M1 локальны для каждой диаграммы; согласование уровней выполняется по содержанию стрелок. F обозначает внутреннюю связь, точка — ветвление или объединение.</w:t>
      </w:r>
    </w:p>
    <w:p>
      <w:pPr>
        <w:spacing w:line="276" w:lineRule="auto" w:after="120"/>
        <w:ind w:firstLine="709"/>
        <w:jc w:val="both"/>
      </w:pPr>
      <w:r>
        <w:rPr>
          <w:rFonts w:ascii="Times New Roman" w:hAnsi="Times New Roman" w:eastAsia="Times New Roman"/>
          <w:b w:val="0"/>
          <w:color w:val="000000"/>
          <w:sz w:val="28"/>
        </w:rPr>
        <w:t>На A0 выделены четыре функции A1–A4. Каждая из них разложена на три подфункции следующего уровня A11–A13, A21–A23, A31–A33 и A41–A43. Все граничные входы, выходы, управления и механизмы родительского блока сохранены в соответствующей декомпозиции.</w:t>
      </w:r>
    </w:p>
    <w:p>
      <w:pPr>
        <w:sectPr>
          <w:footerReference w:type="default" r:id="rId8"/>
          <w:pgSz w:w="11906" w:h="16838"/>
          <w:pgMar w:top="1134" w:right="850" w:bottom="1134" w:left="1417" w:header="283" w:footer="567" w:gutter="0"/>
          <w:cols w:space="708"/>
          <w:docGrid w:linePitch="360"/>
        </w:sectPr>
      </w:pPr>
    </w:p>
    <w:p>
      <w:pPr>
        <w:pStyle w:val="Heading1"/>
        <w:spacing w:before="0" w:after="40"/>
        <w:ind w:firstLine="0"/>
      </w:pPr>
      <w:r>
        <w:rPr>
          <w:rFonts w:ascii="Times New Roman" w:hAnsi="Times New Roman" w:eastAsia="Times New Roman"/>
          <w:b/>
          <w:color w:val="000000"/>
          <w:sz w:val="32"/>
        </w:rPr>
        <w:t>IDEF0 A-0 Контекстная диаграмма</w:t>
      </w:r>
    </w:p>
    <w:p>
      <w:pPr>
        <w:spacing w:after="0" w:line="240" w:lineRule="auto"/>
        <w:jc w:val="center"/>
      </w:pPr>
      <w:r>
        <w:drawing>
          <wp:inline xmlns:a="http://schemas.openxmlformats.org/drawingml/2006/main" xmlns:pic="http://schemas.openxmlformats.org/drawingml/2006/picture">
            <wp:extent cx="9180000" cy="6120000"/>
            <wp:docPr id="2" name="Picture 2"/>
            <wp:cNvGraphicFramePr>
              <a:graphicFrameLocks noChangeAspect="1"/>
            </wp:cNvGraphicFramePr>
            <a:graphic>
              <a:graphicData uri="http://schemas.openxmlformats.org/drawingml/2006/picture">
                <pic:pic>
                  <pic:nvPicPr>
                    <pic:cNvPr id="0" name="A-0.png"/>
                    <pic:cNvPicPr/>
                  </pic:nvPicPr>
                  <pic:blipFill>
                    <a:blip r:embed="rId10"/>
                    <a:stretch>
                      <a:fillRect/>
                    </a:stretch>
                  </pic:blipFill>
                  <pic:spPr>
                    <a:xfrm>
                      <a:off x="0" y="0"/>
                      <a:ext cx="9180000" cy="6120000"/>
                    </a:xfrm>
                    <a:prstGeom prst="rect"/>
                  </pic:spPr>
                </pic:pic>
              </a:graphicData>
            </a:graphic>
          </wp:inline>
        </w:drawing>
      </w:r>
    </w:p>
    <w:p>
      <w:pPr>
        <w:spacing w:after="0"/>
        <w:jc w:val="center"/>
      </w:pPr>
      <w:r>
        <w:rPr>
          <w:rFonts w:ascii="Times New Roman" w:hAnsi="Times New Roman" w:eastAsia="Times New Roman"/>
          <w:b w:val="0"/>
          <w:color w:val="000000"/>
          <w:sz w:val="20"/>
        </w:rPr>
        <w:t>Рисунок 1 — Контекстная диаграмма A-0</w:t>
      </w:r>
    </w:p>
    <w:p>
      <w:pPr>
        <w:sectPr>
          <w:footerReference w:type="default" r:id="rId9"/>
          <w:pgSz w:w="16838" w:h="11906" w:orient="landscape"/>
          <w:pgMar w:top="567" w:right="850" w:bottom="567" w:left="850" w:header="283" w:footer="283" w:gutter="0"/>
          <w:cols w:space="708"/>
          <w:docGrid w:linePitch="360"/>
        </w:sectPr>
      </w:pPr>
    </w:p>
    <w:p>
      <w:pPr>
        <w:pStyle w:val="Heading1"/>
        <w:spacing w:before="0" w:after="40"/>
        <w:ind w:firstLine="0"/>
      </w:pPr>
      <w:r>
        <w:rPr>
          <w:rFonts w:ascii="Times New Roman" w:hAnsi="Times New Roman" w:eastAsia="Times New Roman"/>
          <w:b/>
          <w:color w:val="000000"/>
          <w:sz w:val="32"/>
        </w:rPr>
        <w:t>IDEF0 A0 Верхний уровень</w:t>
      </w:r>
    </w:p>
    <w:p>
      <w:pPr>
        <w:spacing w:after="0" w:line="240" w:lineRule="auto"/>
        <w:jc w:val="center"/>
      </w:pPr>
      <w:r>
        <w:drawing>
          <wp:inline xmlns:a="http://schemas.openxmlformats.org/drawingml/2006/main" xmlns:pic="http://schemas.openxmlformats.org/drawingml/2006/picture">
            <wp:extent cx="9180000" cy="6120000"/>
            <wp:docPr id="3" name="Picture 3"/>
            <wp:cNvGraphicFramePr>
              <a:graphicFrameLocks noChangeAspect="1"/>
            </wp:cNvGraphicFramePr>
            <a:graphic>
              <a:graphicData uri="http://schemas.openxmlformats.org/drawingml/2006/picture">
                <pic:pic>
                  <pic:nvPicPr>
                    <pic:cNvPr id="0" name="A0.png"/>
                    <pic:cNvPicPr/>
                  </pic:nvPicPr>
                  <pic:blipFill>
                    <a:blip r:embed="rId12"/>
                    <a:stretch>
                      <a:fillRect/>
                    </a:stretch>
                  </pic:blipFill>
                  <pic:spPr>
                    <a:xfrm>
                      <a:off x="0" y="0"/>
                      <a:ext cx="9180000" cy="6120000"/>
                    </a:xfrm>
                    <a:prstGeom prst="rect"/>
                  </pic:spPr>
                </pic:pic>
              </a:graphicData>
            </a:graphic>
          </wp:inline>
        </w:drawing>
      </w:r>
    </w:p>
    <w:p>
      <w:pPr>
        <w:spacing w:after="0"/>
        <w:jc w:val="center"/>
      </w:pPr>
      <w:r>
        <w:rPr>
          <w:rFonts w:ascii="Times New Roman" w:hAnsi="Times New Roman" w:eastAsia="Times New Roman"/>
          <w:b w:val="0"/>
          <w:color w:val="000000"/>
          <w:sz w:val="20"/>
        </w:rPr>
        <w:t>Рисунок 2 — Верхний уровень A0</w:t>
      </w:r>
    </w:p>
    <w:p>
      <w:pPr>
        <w:sectPr>
          <w:footerReference w:type="default" r:id="rId11"/>
          <w:pgSz w:w="16838" w:h="11906" w:orient="landscape"/>
          <w:pgMar w:top="567" w:right="850" w:bottom="567" w:left="850" w:header="283" w:footer="283" w:gutter="0"/>
          <w:cols w:space="708"/>
          <w:docGrid w:linePitch="360"/>
        </w:sectPr>
      </w:pPr>
    </w:p>
    <w:p>
      <w:pPr>
        <w:pStyle w:val="Heading1"/>
        <w:spacing w:before="0" w:after="40"/>
        <w:ind w:firstLine="0"/>
      </w:pPr>
      <w:r>
        <w:rPr>
          <w:rFonts w:ascii="Times New Roman" w:hAnsi="Times New Roman" w:eastAsia="Times New Roman"/>
          <w:b/>
          <w:color w:val="000000"/>
          <w:sz w:val="32"/>
        </w:rPr>
        <w:t>IDEF0 A1 Учёт фонда</w:t>
      </w:r>
    </w:p>
    <w:p>
      <w:pPr>
        <w:spacing w:after="0" w:line="240" w:lineRule="auto"/>
        <w:jc w:val="center"/>
      </w:pPr>
      <w:r>
        <w:drawing>
          <wp:inline xmlns:a="http://schemas.openxmlformats.org/drawingml/2006/main" xmlns:pic="http://schemas.openxmlformats.org/drawingml/2006/picture">
            <wp:extent cx="9180000" cy="6120000"/>
            <wp:docPr id="4" name="Picture 4"/>
            <wp:cNvGraphicFramePr>
              <a:graphicFrameLocks noChangeAspect="1"/>
            </wp:cNvGraphicFramePr>
            <a:graphic>
              <a:graphicData uri="http://schemas.openxmlformats.org/drawingml/2006/picture">
                <pic:pic>
                  <pic:nvPicPr>
                    <pic:cNvPr id="0" name="A1.png"/>
                    <pic:cNvPicPr/>
                  </pic:nvPicPr>
                  <pic:blipFill>
                    <a:blip r:embed="rId14"/>
                    <a:stretch>
                      <a:fillRect/>
                    </a:stretch>
                  </pic:blipFill>
                  <pic:spPr>
                    <a:xfrm>
                      <a:off x="0" y="0"/>
                      <a:ext cx="9180000" cy="6120000"/>
                    </a:xfrm>
                    <a:prstGeom prst="rect"/>
                  </pic:spPr>
                </pic:pic>
              </a:graphicData>
            </a:graphic>
          </wp:inline>
        </w:drawing>
      </w:r>
    </w:p>
    <w:p>
      <w:pPr>
        <w:spacing w:after="0"/>
        <w:jc w:val="center"/>
      </w:pPr>
      <w:r>
        <w:rPr>
          <w:rFonts w:ascii="Times New Roman" w:hAnsi="Times New Roman" w:eastAsia="Times New Roman"/>
          <w:b w:val="0"/>
          <w:color w:val="000000"/>
          <w:sz w:val="20"/>
        </w:rPr>
        <w:t>Рисунок 3 — Учёт фонда A1</w:t>
      </w:r>
    </w:p>
    <w:p>
      <w:pPr>
        <w:sectPr>
          <w:footerReference w:type="default" r:id="rId13"/>
          <w:pgSz w:w="16838" w:h="11906" w:orient="landscape"/>
          <w:pgMar w:top="567" w:right="850" w:bottom="567" w:left="850" w:header="283" w:footer="283" w:gutter="0"/>
          <w:cols w:space="708"/>
          <w:docGrid w:linePitch="360"/>
        </w:sectPr>
      </w:pPr>
    </w:p>
    <w:p>
      <w:pPr>
        <w:pStyle w:val="Heading1"/>
        <w:spacing w:before="0" w:after="40"/>
        <w:ind w:firstLine="0"/>
      </w:pPr>
      <w:r>
        <w:rPr>
          <w:rFonts w:ascii="Times New Roman" w:hAnsi="Times New Roman" w:eastAsia="Times New Roman"/>
          <w:b/>
          <w:color w:val="000000"/>
          <w:sz w:val="32"/>
        </w:rPr>
        <w:t>IDEF0 A2 Обслуживание читателей</w:t>
      </w:r>
    </w:p>
    <w:p>
      <w:pPr>
        <w:spacing w:after="0" w:line="240" w:lineRule="auto"/>
        <w:jc w:val="center"/>
      </w:pPr>
      <w:r>
        <w:drawing>
          <wp:inline xmlns:a="http://schemas.openxmlformats.org/drawingml/2006/main" xmlns:pic="http://schemas.openxmlformats.org/drawingml/2006/picture">
            <wp:extent cx="9180000" cy="6120000"/>
            <wp:docPr id="5" name="Picture 5"/>
            <wp:cNvGraphicFramePr>
              <a:graphicFrameLocks noChangeAspect="1"/>
            </wp:cNvGraphicFramePr>
            <a:graphic>
              <a:graphicData uri="http://schemas.openxmlformats.org/drawingml/2006/picture">
                <pic:pic>
                  <pic:nvPicPr>
                    <pic:cNvPr id="0" name="A2.png"/>
                    <pic:cNvPicPr/>
                  </pic:nvPicPr>
                  <pic:blipFill>
                    <a:blip r:embed="rId16"/>
                    <a:stretch>
                      <a:fillRect/>
                    </a:stretch>
                  </pic:blipFill>
                  <pic:spPr>
                    <a:xfrm>
                      <a:off x="0" y="0"/>
                      <a:ext cx="9180000" cy="6120000"/>
                    </a:xfrm>
                    <a:prstGeom prst="rect"/>
                  </pic:spPr>
                </pic:pic>
              </a:graphicData>
            </a:graphic>
          </wp:inline>
        </w:drawing>
      </w:r>
    </w:p>
    <w:p>
      <w:pPr>
        <w:spacing w:after="0"/>
        <w:jc w:val="center"/>
      </w:pPr>
      <w:r>
        <w:rPr>
          <w:rFonts w:ascii="Times New Roman" w:hAnsi="Times New Roman" w:eastAsia="Times New Roman"/>
          <w:b w:val="0"/>
          <w:color w:val="000000"/>
          <w:sz w:val="20"/>
        </w:rPr>
        <w:t>Рисунок 4 — Обслуживание читателей A2</w:t>
      </w:r>
    </w:p>
    <w:p>
      <w:pPr>
        <w:sectPr>
          <w:footerReference w:type="default" r:id="rId15"/>
          <w:pgSz w:w="16838" w:h="11906" w:orient="landscape"/>
          <w:pgMar w:top="567" w:right="850" w:bottom="567" w:left="850" w:header="283" w:footer="283" w:gutter="0"/>
          <w:cols w:space="708"/>
          <w:docGrid w:linePitch="360"/>
        </w:sectPr>
      </w:pPr>
    </w:p>
    <w:p>
      <w:pPr>
        <w:pStyle w:val="Heading1"/>
        <w:spacing w:before="0" w:after="40"/>
        <w:ind w:firstLine="0"/>
      </w:pPr>
      <w:r>
        <w:rPr>
          <w:rFonts w:ascii="Times New Roman" w:hAnsi="Times New Roman" w:eastAsia="Times New Roman"/>
          <w:b/>
          <w:color w:val="000000"/>
          <w:sz w:val="32"/>
        </w:rPr>
        <w:t>IDEF0 A3 Выдача книг</w:t>
      </w:r>
    </w:p>
    <w:p>
      <w:pPr>
        <w:spacing w:after="0" w:line="240" w:lineRule="auto"/>
        <w:jc w:val="center"/>
      </w:pPr>
      <w:r>
        <w:drawing>
          <wp:inline xmlns:a="http://schemas.openxmlformats.org/drawingml/2006/main" xmlns:pic="http://schemas.openxmlformats.org/drawingml/2006/picture">
            <wp:extent cx="9180000" cy="6120000"/>
            <wp:docPr id="6" name="Picture 6"/>
            <wp:cNvGraphicFramePr>
              <a:graphicFrameLocks noChangeAspect="1"/>
            </wp:cNvGraphicFramePr>
            <a:graphic>
              <a:graphicData uri="http://schemas.openxmlformats.org/drawingml/2006/picture">
                <pic:pic>
                  <pic:nvPicPr>
                    <pic:cNvPr id="0" name="A3.png"/>
                    <pic:cNvPicPr/>
                  </pic:nvPicPr>
                  <pic:blipFill>
                    <a:blip r:embed="rId18"/>
                    <a:stretch>
                      <a:fillRect/>
                    </a:stretch>
                  </pic:blipFill>
                  <pic:spPr>
                    <a:xfrm>
                      <a:off x="0" y="0"/>
                      <a:ext cx="9180000" cy="6120000"/>
                    </a:xfrm>
                    <a:prstGeom prst="rect"/>
                  </pic:spPr>
                </pic:pic>
              </a:graphicData>
            </a:graphic>
          </wp:inline>
        </w:drawing>
      </w:r>
    </w:p>
    <w:p>
      <w:pPr>
        <w:spacing w:after="0"/>
        <w:jc w:val="center"/>
      </w:pPr>
      <w:r>
        <w:rPr>
          <w:rFonts w:ascii="Times New Roman" w:hAnsi="Times New Roman" w:eastAsia="Times New Roman"/>
          <w:b w:val="0"/>
          <w:color w:val="000000"/>
          <w:sz w:val="20"/>
        </w:rPr>
        <w:t>Рисунок 5 — Выдача книг A3</w:t>
      </w:r>
    </w:p>
    <w:p>
      <w:pPr>
        <w:sectPr>
          <w:footerReference w:type="default" r:id="rId17"/>
          <w:pgSz w:w="16838" w:h="11906" w:orient="landscape"/>
          <w:pgMar w:top="567" w:right="850" w:bottom="567" w:left="850" w:header="283" w:footer="283" w:gutter="0"/>
          <w:cols w:space="708"/>
          <w:docGrid w:linePitch="360"/>
        </w:sectPr>
      </w:pPr>
    </w:p>
    <w:p>
      <w:pPr>
        <w:pStyle w:val="Heading1"/>
        <w:spacing w:before="0" w:after="40"/>
        <w:ind w:firstLine="0"/>
      </w:pPr>
      <w:r>
        <w:rPr>
          <w:rFonts w:ascii="Times New Roman" w:hAnsi="Times New Roman" w:eastAsia="Times New Roman"/>
          <w:b/>
          <w:color w:val="000000"/>
          <w:sz w:val="32"/>
        </w:rPr>
        <w:t>IDEF0 A4 Возврат и расчёты</w:t>
      </w:r>
    </w:p>
    <w:p>
      <w:pPr>
        <w:spacing w:after="0" w:line="240" w:lineRule="auto"/>
        <w:jc w:val="center"/>
      </w:pPr>
      <w:r>
        <w:drawing>
          <wp:inline xmlns:a="http://schemas.openxmlformats.org/drawingml/2006/main" xmlns:pic="http://schemas.openxmlformats.org/drawingml/2006/picture">
            <wp:extent cx="9180000" cy="6120000"/>
            <wp:docPr id="7" name="Picture 7"/>
            <wp:cNvGraphicFramePr>
              <a:graphicFrameLocks noChangeAspect="1"/>
            </wp:cNvGraphicFramePr>
            <a:graphic>
              <a:graphicData uri="http://schemas.openxmlformats.org/drawingml/2006/picture">
                <pic:pic>
                  <pic:nvPicPr>
                    <pic:cNvPr id="0" name="A4.png"/>
                    <pic:cNvPicPr/>
                  </pic:nvPicPr>
                  <pic:blipFill>
                    <a:blip r:embed="rId20"/>
                    <a:stretch>
                      <a:fillRect/>
                    </a:stretch>
                  </pic:blipFill>
                  <pic:spPr>
                    <a:xfrm>
                      <a:off x="0" y="0"/>
                      <a:ext cx="9180000" cy="6120000"/>
                    </a:xfrm>
                    <a:prstGeom prst="rect"/>
                  </pic:spPr>
                </pic:pic>
              </a:graphicData>
            </a:graphic>
          </wp:inline>
        </w:drawing>
      </w:r>
    </w:p>
    <w:p>
      <w:pPr>
        <w:spacing w:after="0"/>
        <w:jc w:val="center"/>
      </w:pPr>
      <w:r>
        <w:rPr>
          <w:rFonts w:ascii="Times New Roman" w:hAnsi="Times New Roman" w:eastAsia="Times New Roman"/>
          <w:b w:val="0"/>
          <w:color w:val="000000"/>
          <w:sz w:val="20"/>
        </w:rPr>
        <w:t>Рисунок 6 — Возврат и расчёты A4</w:t>
      </w:r>
    </w:p>
    <w:p>
      <w:pPr>
        <w:sectPr>
          <w:footerReference w:type="default" r:id="rId19"/>
          <w:pgSz w:w="16838" w:h="11906" w:orient="landscape"/>
          <w:pgMar w:top="567" w:right="850" w:bottom="567" w:left="850" w:header="283" w:footer="283" w:gutter="0"/>
          <w:cols w:space="708"/>
          <w:docGrid w:linePitch="360"/>
        </w:sectPr>
      </w:pPr>
    </w:p>
    <w:p>
      <w:pPr>
        <w:pStyle w:val="Heading1"/>
        <w:spacing w:before="0" w:after="100"/>
        <w:ind w:firstLine="0"/>
      </w:pPr>
      <w:r>
        <w:rPr>
          <w:rFonts w:ascii="Times New Roman" w:hAnsi="Times New Roman" w:eastAsia="Times New Roman"/>
          <w:b/>
          <w:color w:val="000000"/>
          <w:sz w:val="32"/>
        </w:rPr>
        <w:t>ER модель библиотечного обслуживания</w:t>
      </w:r>
    </w:p>
    <w:p>
      <w:pPr>
        <w:spacing w:after="0"/>
        <w:jc w:val="center"/>
      </w:pPr>
      <w:r>
        <w:drawing>
          <wp:inline xmlns:a="http://schemas.openxmlformats.org/drawingml/2006/main" xmlns:pic="http://schemas.openxmlformats.org/drawingml/2006/picture">
            <wp:extent cx="13320000" cy="9190924"/>
            <wp:docPr id="8" name="Picture 8"/>
            <wp:cNvGraphicFramePr>
              <a:graphicFrameLocks noChangeAspect="1"/>
            </wp:cNvGraphicFramePr>
            <a:graphic>
              <a:graphicData uri="http://schemas.openxmlformats.org/drawingml/2006/picture">
                <pic:pic>
                  <pic:nvPicPr>
                    <pic:cNvPr id="0" name="library_er.png"/>
                    <pic:cNvPicPr/>
                  </pic:nvPicPr>
                  <pic:blipFill>
                    <a:blip r:embed="rId22"/>
                    <a:stretch>
                      <a:fillRect/>
                    </a:stretch>
                  </pic:blipFill>
                  <pic:spPr>
                    <a:xfrm>
                      <a:off x="0" y="0"/>
                      <a:ext cx="13320000" cy="9190924"/>
                    </a:xfrm>
                    <a:prstGeom prst="rect"/>
                  </pic:spPr>
                </pic:pic>
              </a:graphicData>
            </a:graphic>
          </wp:inline>
        </w:drawing>
      </w:r>
    </w:p>
    <w:p>
      <w:pPr>
        <w:jc w:val="center"/>
      </w:pPr>
      <w:r>
        <w:rPr>
          <w:rFonts w:ascii="Times New Roman" w:hAnsi="Times New Roman" w:eastAsia="Times New Roman"/>
          <w:b w:val="0"/>
          <w:color w:val="000000"/>
          <w:sz w:val="22"/>
        </w:rPr>
        <w:t>Рисунок 7 — Сущности и кардинальности связей</w:t>
      </w:r>
    </w:p>
    <w:p>
      <w:pPr>
        <w:sectPr>
          <w:footerReference w:type="default" r:id="rId21"/>
          <w:pgSz w:w="23811" w:h="16838" w:orient="landscape"/>
          <w:pgMar w:top="567" w:right="850" w:bottom="567" w:left="850" w:header="283" w:footer="283" w:gutter="0"/>
          <w:cols w:space="708"/>
          <w:docGrid w:linePitch="360"/>
        </w:sectPr>
      </w:pPr>
    </w:p>
    <w:p>
      <w:pPr>
        <w:pStyle w:val="Heading1"/>
        <w:spacing w:before="160" w:after="100"/>
        <w:ind w:firstLine="0"/>
      </w:pPr>
      <w:r>
        <w:rPr>
          <w:rFonts w:ascii="Times New Roman" w:hAnsi="Times New Roman" w:eastAsia="Times New Roman"/>
          <w:b/>
          <w:color w:val="000000"/>
          <w:sz w:val="32"/>
        </w:rPr>
        <w:t>Структура данных</w:t>
      </w:r>
    </w:p>
    <w:p>
      <w:pPr>
        <w:spacing w:line="276" w:lineRule="auto" w:after="120"/>
        <w:ind w:firstLine="709"/>
        <w:jc w:val="both"/>
      </w:pPr>
      <w:r>
        <w:rPr>
          <w:rFonts w:ascii="Times New Roman" w:hAnsi="Times New Roman" w:eastAsia="Times New Roman"/>
          <w:b w:val="0"/>
          <w:color w:val="000000"/>
          <w:sz w:val="28"/>
        </w:rPr>
        <w:t>Каталог отделён от физических экземпляров. Book хранит описание издания, BookCopy — конкретную книгу с инвентарным номером и местом хранения. Связи изданий с авторами и категориями имеют характер многие ко многим и реализованы через BookAuthor и BookCategory с составными первичными ключами. Branch и StorageLocation описывают филиал и полку. Reader и Employee представляют читателя и сотрудника, Reservation — заявку на издание в выбранном филиале.</w:t>
      </w:r>
    </w:p>
    <w:p>
      <w:pPr>
        <w:spacing w:line="276" w:lineRule="auto" w:after="120"/>
        <w:ind w:firstLine="709"/>
        <w:jc w:val="both"/>
      </w:pPr>
      <w:r>
        <w:rPr>
          <w:rFonts w:ascii="Times New Roman" w:hAnsi="Times New Roman" w:eastAsia="Times New Roman"/>
          <w:b w:val="0"/>
          <w:color w:val="000000"/>
          <w:sz w:val="28"/>
        </w:rPr>
        <w:t>Документ Loan принадлежит одному читателю и содержит позиции LoanItem с отдельными сроками и сведениями о возврате. История одного экземпляра включает много позиций, но одновременно допускается только одна активная позиция. Fine относится к одной просроченной позиции, а Payment позволяет оплачивать штраф несколькими платежами. Обратная связь о задолженности управляет новой выдачей. Деньги хранятся целым числом копеек; остаток долга и доступность экземпляра вычисляются по данным выдач и платежей.</w:t>
      </w:r>
    </w:p>
    <w:p>
      <w:pPr>
        <w:pStyle w:val="Heading2"/>
        <w:spacing w:before="160" w:after="100"/>
        <w:ind w:firstLine="0"/>
      </w:pPr>
      <w:r>
        <w:rPr>
          <w:rFonts w:ascii="Times New Roman" w:hAnsi="Times New Roman" w:eastAsia="Times New Roman"/>
          <w:b/>
          <w:color w:val="000000"/>
          <w:sz w:val="28"/>
        </w:rPr>
        <w:t>Сущности и ключевые атрибуты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268"/>
        <w:gridCol w:w="4989"/>
      </w:tblGrid>
      <w:tr>
        <w:trPr>
          <w:cantSplit/>
          <w:tblHeader/>
        </w:trPr>
        <w:tc>
          <w:tcPr>
            <w:tcW w:type="dxa" w:w="2381"/>
            <w:vAlign w:val="center"/>
            <w:tcMar>
              <w:top w:w="100" w:type="dxa"/>
              <w:left w:w="100" w:type="dxa"/>
              <w:bottom w:w="100" w:type="dxa"/>
              <w:right w:w="100" w:type="dxa"/>
            </w:tcMar>
            <w:shd w:fill="E7E6E6"/>
          </w:tcPr>
          <w:p>
            <w:pPr>
              <w:spacing w:after="0" w:line="252" w:lineRule="auto"/>
              <w:ind w:firstLine="0"/>
            </w:pPr>
            <w:r>
              <w:rPr>
                <w:rFonts w:ascii="Times New Roman" w:hAnsi="Times New Roman" w:eastAsia="Times New Roman"/>
                <w:b/>
                <w:color w:val="000000"/>
                <w:sz w:val="22"/>
              </w:rPr>
              <w:t>Сущность</w:t>
            </w:r>
          </w:p>
        </w:tc>
        <w:tc>
          <w:tcPr>
            <w:tcW w:type="dxa" w:w="2268"/>
            <w:vAlign w:val="center"/>
            <w:tcMar>
              <w:top w:w="100" w:type="dxa"/>
              <w:left w:w="100" w:type="dxa"/>
              <w:bottom w:w="100" w:type="dxa"/>
              <w:right w:w="100" w:type="dxa"/>
            </w:tcMar>
            <w:shd w:fill="E7E6E6"/>
          </w:tcPr>
          <w:p>
            <w:pPr>
              <w:spacing w:after="0" w:line="252" w:lineRule="auto"/>
              <w:ind w:firstLine="0"/>
            </w:pPr>
            <w:r>
              <w:rPr>
                <w:rFonts w:ascii="Times New Roman" w:hAnsi="Times New Roman" w:eastAsia="Times New Roman"/>
                <w:b/>
                <w:color w:val="000000"/>
                <w:sz w:val="22"/>
              </w:rPr>
              <w:t>Первичный ключ</w:t>
            </w:r>
          </w:p>
        </w:tc>
        <w:tc>
          <w:tcPr>
            <w:tcW w:type="dxa" w:w="4989"/>
            <w:vAlign w:val="center"/>
            <w:tcMar>
              <w:top w:w="100" w:type="dxa"/>
              <w:left w:w="100" w:type="dxa"/>
              <w:bottom w:w="100" w:type="dxa"/>
              <w:right w:w="100" w:type="dxa"/>
            </w:tcMar>
            <w:shd w:fill="E7E6E6"/>
          </w:tcPr>
          <w:p>
            <w:pPr>
              <w:spacing w:after="0" w:line="252" w:lineRule="auto"/>
              <w:ind w:firstLine="0"/>
            </w:pPr>
            <w:r>
              <w:rPr>
                <w:rFonts w:ascii="Times New Roman" w:hAnsi="Times New Roman" w:eastAsia="Times New Roman"/>
                <w:b/>
                <w:color w:val="000000"/>
                <w:sz w:val="22"/>
              </w:rPr>
              <w:t>Другие атрибуты</w:t>
            </w:r>
          </w:p>
        </w:tc>
      </w:tr>
      <w:tr>
        <w:trPr>
          <w:cantSplit/>
        </w:trPr>
        <w:tc>
          <w:tcPr>
            <w:tcW w:type="dxa" w:w="2381"/>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Author</w:t>
              <w:br/>
              <w:t>Автор</w:t>
            </w:r>
          </w:p>
        </w:tc>
        <w:tc>
          <w:tcPr>
            <w:tcW w:type="dxa" w:w="2268"/>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AuthorId</w:t>
            </w:r>
          </w:p>
        </w:tc>
        <w:tc>
          <w:tcPr>
            <w:tcW w:type="dxa" w:w="498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FullName</w:t>
            </w:r>
          </w:p>
        </w:tc>
      </w:tr>
      <w:tr>
        <w:trPr>
          <w:cantSplit/>
        </w:trPr>
        <w:tc>
          <w:tcPr>
            <w:tcW w:type="dxa" w:w="2381"/>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Publisher</w:t>
              <w:br/>
              <w:t>Издательство</w:t>
            </w:r>
          </w:p>
        </w:tc>
        <w:tc>
          <w:tcPr>
            <w:tcW w:type="dxa" w:w="2268"/>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PublisherId</w:t>
            </w:r>
          </w:p>
        </w:tc>
        <w:tc>
          <w:tcPr>
            <w:tcW w:type="dxa" w:w="498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Name</w:t>
            </w:r>
          </w:p>
        </w:tc>
      </w:tr>
      <w:tr>
        <w:trPr>
          <w:cantSplit/>
        </w:trPr>
        <w:tc>
          <w:tcPr>
            <w:tcW w:type="dxa" w:w="2381"/>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Category</w:t>
              <w:br/>
              <w:t>Категория</w:t>
            </w:r>
          </w:p>
        </w:tc>
        <w:tc>
          <w:tcPr>
            <w:tcW w:type="dxa" w:w="2268"/>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CategoryId</w:t>
            </w:r>
          </w:p>
        </w:tc>
        <w:tc>
          <w:tcPr>
            <w:tcW w:type="dxa" w:w="498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Name</w:t>
            </w:r>
          </w:p>
        </w:tc>
      </w:tr>
      <w:tr>
        <w:trPr>
          <w:cantSplit/>
        </w:trPr>
        <w:tc>
          <w:tcPr>
            <w:tcW w:type="dxa" w:w="2381"/>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Book</w:t>
              <w:br/>
              <w:t>Издание</w:t>
            </w:r>
          </w:p>
        </w:tc>
        <w:tc>
          <w:tcPr>
            <w:tcW w:type="dxa" w:w="2268"/>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BookId</w:t>
            </w:r>
          </w:p>
        </w:tc>
        <w:tc>
          <w:tcPr>
            <w:tcW w:type="dxa" w:w="498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PublisherId FK, Title, Isbn, PublicationYear</w:t>
            </w:r>
          </w:p>
        </w:tc>
      </w:tr>
      <w:tr>
        <w:trPr>
          <w:cantSplit/>
        </w:trPr>
        <w:tc>
          <w:tcPr>
            <w:tcW w:type="dxa" w:w="2381"/>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BookAuthor</w:t>
              <w:br/>
              <w:t>Авторство</w:t>
            </w:r>
          </w:p>
        </w:tc>
        <w:tc>
          <w:tcPr>
            <w:tcW w:type="dxa" w:w="2268"/>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BookId, AuthorId</w:t>
            </w:r>
          </w:p>
        </w:tc>
        <w:tc>
          <w:tcPr>
            <w:tcW w:type="dxa" w:w="498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Связующая сущность для изданий и авторов</w:t>
            </w:r>
          </w:p>
        </w:tc>
      </w:tr>
      <w:tr>
        <w:trPr>
          <w:cantSplit/>
        </w:trPr>
        <w:tc>
          <w:tcPr>
            <w:tcW w:type="dxa" w:w="2381"/>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BookCategory</w:t>
              <w:br/>
              <w:t>Рубрикация</w:t>
            </w:r>
          </w:p>
        </w:tc>
        <w:tc>
          <w:tcPr>
            <w:tcW w:type="dxa" w:w="2268"/>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BookId, CategoryId</w:t>
            </w:r>
          </w:p>
        </w:tc>
        <w:tc>
          <w:tcPr>
            <w:tcW w:type="dxa" w:w="498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Связующая сущность для изданий и категорий</w:t>
            </w:r>
          </w:p>
        </w:tc>
      </w:tr>
      <w:tr>
        <w:trPr>
          <w:cantSplit/>
        </w:trPr>
        <w:tc>
          <w:tcPr>
            <w:tcW w:type="dxa" w:w="2381"/>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Branch</w:t>
              <w:br/>
              <w:t>Филиал</w:t>
            </w:r>
          </w:p>
        </w:tc>
        <w:tc>
          <w:tcPr>
            <w:tcW w:type="dxa" w:w="2268"/>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BranchId</w:t>
            </w:r>
          </w:p>
        </w:tc>
        <w:tc>
          <w:tcPr>
            <w:tcW w:type="dxa" w:w="498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Name, Address</w:t>
            </w:r>
          </w:p>
        </w:tc>
      </w:tr>
      <w:tr>
        <w:trPr>
          <w:cantSplit/>
        </w:trPr>
        <w:tc>
          <w:tcPr>
            <w:tcW w:type="dxa" w:w="2381"/>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StorageLocation</w:t>
              <w:br/>
              <w:t>Место хранения</w:t>
            </w:r>
          </w:p>
        </w:tc>
        <w:tc>
          <w:tcPr>
            <w:tcW w:type="dxa" w:w="2268"/>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LocationId</w:t>
            </w:r>
          </w:p>
        </w:tc>
        <w:tc>
          <w:tcPr>
            <w:tcW w:type="dxa" w:w="498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BranchId FK, ShelfCode</w:t>
            </w:r>
          </w:p>
        </w:tc>
      </w:tr>
      <w:tr>
        <w:trPr>
          <w:cantSplit/>
        </w:trPr>
        <w:tc>
          <w:tcPr>
            <w:tcW w:type="dxa" w:w="2381"/>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BookCopy</w:t>
              <w:br/>
              <w:t>Экземпляр</w:t>
            </w:r>
          </w:p>
        </w:tc>
        <w:tc>
          <w:tcPr>
            <w:tcW w:type="dxa" w:w="2268"/>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CopyId</w:t>
            </w:r>
          </w:p>
        </w:tc>
        <w:tc>
          <w:tcPr>
            <w:tcW w:type="dxa" w:w="498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BookId FK, LocationId FK, InventoryNumber, ConditionStatus</w:t>
            </w:r>
          </w:p>
        </w:tc>
      </w:tr>
      <w:tr>
        <w:trPr>
          <w:cantSplit/>
        </w:trPr>
        <w:tc>
          <w:tcPr>
            <w:tcW w:type="dxa" w:w="2381"/>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Reader</w:t>
              <w:br/>
              <w:t>Читатель</w:t>
            </w:r>
          </w:p>
        </w:tc>
        <w:tc>
          <w:tcPr>
            <w:tcW w:type="dxa" w:w="2268"/>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ReaderId</w:t>
            </w:r>
          </w:p>
        </w:tc>
        <w:tc>
          <w:tcPr>
            <w:tcW w:type="dxa" w:w="498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CardNumber, FullName, Email, Status</w:t>
            </w:r>
          </w:p>
        </w:tc>
      </w:tr>
      <w:tr>
        <w:trPr>
          <w:cantSplit/>
        </w:trPr>
        <w:tc>
          <w:tcPr>
            <w:tcW w:type="dxa" w:w="2381"/>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Employee</w:t>
              <w:br/>
              <w:t>Сотрудник</w:t>
            </w:r>
          </w:p>
        </w:tc>
        <w:tc>
          <w:tcPr>
            <w:tcW w:type="dxa" w:w="2268"/>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EmployeeId</w:t>
            </w:r>
          </w:p>
        </w:tc>
        <w:tc>
          <w:tcPr>
            <w:tcW w:type="dxa" w:w="498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FullName, Role</w:t>
            </w:r>
          </w:p>
        </w:tc>
      </w:tr>
      <w:tr>
        <w:trPr>
          <w:cantSplit/>
        </w:trPr>
        <w:tc>
          <w:tcPr>
            <w:tcW w:type="dxa" w:w="2381"/>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Reservation</w:t>
              <w:br/>
              <w:t>Бронирование</w:t>
            </w:r>
          </w:p>
        </w:tc>
        <w:tc>
          <w:tcPr>
            <w:tcW w:type="dxa" w:w="2268"/>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ReservationId</w:t>
            </w:r>
          </w:p>
        </w:tc>
        <w:tc>
          <w:tcPr>
            <w:tcW w:type="dxa" w:w="498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ReaderId FK, BookId FK, PickupBranchId FK, ReservedAt, Status</w:t>
            </w:r>
          </w:p>
        </w:tc>
      </w:tr>
      <w:tr>
        <w:trPr>
          <w:cantSplit/>
        </w:trPr>
        <w:tc>
          <w:tcPr>
            <w:tcW w:type="dxa" w:w="2381"/>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Loan</w:t>
              <w:br/>
              <w:t>Выдача</w:t>
            </w:r>
          </w:p>
        </w:tc>
        <w:tc>
          <w:tcPr>
            <w:tcW w:type="dxa" w:w="2268"/>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LoanId</w:t>
            </w:r>
          </w:p>
        </w:tc>
        <w:tc>
          <w:tcPr>
            <w:tcW w:type="dxa" w:w="498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ReaderId FK, IssuedByEmployeeId FK, IssuedAt</w:t>
            </w:r>
          </w:p>
        </w:tc>
      </w:tr>
      <w:tr>
        <w:trPr>
          <w:cantSplit/>
        </w:trPr>
        <w:tc>
          <w:tcPr>
            <w:tcW w:type="dxa" w:w="2381"/>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LoanItem</w:t>
              <w:br/>
              <w:t>Позиция выдачи</w:t>
            </w:r>
          </w:p>
        </w:tc>
        <w:tc>
          <w:tcPr>
            <w:tcW w:type="dxa" w:w="2268"/>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LoanItemId</w:t>
            </w:r>
          </w:p>
        </w:tc>
        <w:tc>
          <w:tcPr>
            <w:tcW w:type="dxa" w:w="498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LoanId FK, CopyId FK, DueAt, ReturnedAt, ReturnedByEmployeeId FK</w:t>
            </w:r>
          </w:p>
        </w:tc>
      </w:tr>
      <w:tr>
        <w:trPr>
          <w:cantSplit/>
        </w:trPr>
        <w:tc>
          <w:tcPr>
            <w:tcW w:type="dxa" w:w="2381"/>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Fine</w:t>
              <w:br/>
              <w:t>Штраф</w:t>
            </w:r>
          </w:p>
        </w:tc>
        <w:tc>
          <w:tcPr>
            <w:tcW w:type="dxa" w:w="2268"/>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FineId</w:t>
            </w:r>
          </w:p>
        </w:tc>
        <w:tc>
          <w:tcPr>
            <w:tcW w:type="dxa" w:w="498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LoanItemId FK, AmountCents, AssessedAt, Reason</w:t>
            </w:r>
          </w:p>
        </w:tc>
      </w:tr>
      <w:tr>
        <w:trPr>
          <w:cantSplit/>
        </w:trPr>
        <w:tc>
          <w:tcPr>
            <w:tcW w:type="dxa" w:w="2381"/>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Payment</w:t>
              <w:br/>
              <w:t>Платёж</w:t>
            </w:r>
          </w:p>
        </w:tc>
        <w:tc>
          <w:tcPr>
            <w:tcW w:type="dxa" w:w="2268"/>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PaymentId</w:t>
            </w:r>
          </w:p>
        </w:tc>
        <w:tc>
          <w:tcPr>
            <w:tcW w:type="dxa" w:w="498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FineId FK, ReceivedByEmployeeId FK, AmountCents, PaidAt, ReceiptNumber</w:t>
            </w:r>
          </w:p>
        </w:tc>
      </w:tr>
    </w:tbl>
    <w:p>
      <w:r>
        <w:br w:type="page"/>
      </w:r>
    </w:p>
    <w:p>
      <w:pPr>
        <w:pStyle w:val="Heading1"/>
        <w:spacing w:before="160" w:after="100"/>
        <w:ind w:firstLine="0"/>
      </w:pPr>
      <w:r>
        <w:rPr>
          <w:rFonts w:ascii="Times New Roman" w:hAnsi="Times New Roman" w:eastAsia="Times New Roman"/>
          <w:b/>
          <w:color w:val="000000"/>
          <w:sz w:val="32"/>
        </w:rPr>
        <w:t>Кардинальности связей</w:t>
      </w:r>
    </w:p>
    <w:p>
      <w:pPr>
        <w:spacing w:line="276" w:lineRule="auto" w:after="120"/>
        <w:ind w:firstLine="709"/>
        <w:jc w:val="both"/>
      </w:pPr>
      <w:r>
        <w:rPr>
          <w:rFonts w:ascii="Times New Roman" w:hAnsi="Times New Roman" w:eastAsia="Times New Roman"/>
          <w:b w:val="0"/>
          <w:color w:val="000000"/>
          <w:sz w:val="28"/>
        </w:rPr>
        <w:t>На концах связи указано число связанных объектов: 1 — ровно один, 0..1 — ноль или один, 0..* — любое число, 1..* — один или несколько. Для Loan–LoanItem минимум одна позиция является правилом завершённой операции выдачи: документ и позиции записываются одной транзакцией. Один внешний ключ сам по себе не обеспечивает наличие дочерней записи.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39"/>
        <w:gridCol w:w="1644"/>
        <w:gridCol w:w="3855"/>
      </w:tblGrid>
      <w:tr>
        <w:trPr>
          <w:cantSplit/>
          <w:tblHeader/>
        </w:trPr>
        <w:tc>
          <w:tcPr>
            <w:tcW w:type="dxa" w:w="4139"/>
            <w:vAlign w:val="center"/>
            <w:tcMar>
              <w:top w:w="100" w:type="dxa"/>
              <w:left w:w="100" w:type="dxa"/>
              <w:bottom w:w="100" w:type="dxa"/>
              <w:right w:w="100" w:type="dxa"/>
            </w:tcMar>
            <w:shd w:fill="E7E6E6"/>
          </w:tcPr>
          <w:p>
            <w:pPr>
              <w:spacing w:after="0" w:line="252" w:lineRule="auto"/>
              <w:ind w:firstLine="0"/>
            </w:pPr>
            <w:r>
              <w:rPr>
                <w:rFonts w:ascii="Times New Roman" w:hAnsi="Times New Roman" w:eastAsia="Times New Roman"/>
                <w:b/>
                <w:color w:val="000000"/>
                <w:sz w:val="22"/>
              </w:rPr>
              <w:t>Связь</w:t>
            </w:r>
          </w:p>
        </w:tc>
        <w:tc>
          <w:tcPr>
            <w:tcW w:type="dxa" w:w="1644"/>
            <w:vAlign w:val="center"/>
            <w:tcMar>
              <w:top w:w="100" w:type="dxa"/>
              <w:left w:w="100" w:type="dxa"/>
              <w:bottom w:w="100" w:type="dxa"/>
              <w:right w:w="100" w:type="dxa"/>
            </w:tcMar>
            <w:shd w:fill="E7E6E6"/>
          </w:tcPr>
          <w:p>
            <w:pPr>
              <w:spacing w:after="0" w:line="252" w:lineRule="auto"/>
              <w:ind w:firstLine="0"/>
            </w:pPr>
            <w:r>
              <w:rPr>
                <w:rFonts w:ascii="Times New Roman" w:hAnsi="Times New Roman" w:eastAsia="Times New Roman"/>
                <w:b/>
                <w:color w:val="000000"/>
                <w:sz w:val="22"/>
              </w:rPr>
              <w:t>Кратность</w:t>
            </w:r>
          </w:p>
        </w:tc>
        <w:tc>
          <w:tcPr>
            <w:tcW w:type="dxa" w:w="3855"/>
            <w:vAlign w:val="center"/>
            <w:tcMar>
              <w:top w:w="100" w:type="dxa"/>
              <w:left w:w="100" w:type="dxa"/>
              <w:bottom w:w="100" w:type="dxa"/>
              <w:right w:w="100" w:type="dxa"/>
            </w:tcMar>
            <w:shd w:fill="E7E6E6"/>
          </w:tcPr>
          <w:p>
            <w:pPr>
              <w:spacing w:after="0" w:line="252" w:lineRule="auto"/>
              <w:ind w:firstLine="0"/>
            </w:pPr>
            <w:r>
              <w:rPr>
                <w:rFonts w:ascii="Times New Roman" w:hAnsi="Times New Roman" w:eastAsia="Times New Roman"/>
                <w:b/>
                <w:color w:val="000000"/>
                <w:sz w:val="22"/>
              </w:rPr>
              <w:t>Внешний ключ</w:t>
            </w:r>
          </w:p>
        </w:tc>
      </w:tr>
      <w:tr>
        <w:trPr>
          <w:cantSplit/>
        </w:trPr>
        <w:tc>
          <w:tcPr>
            <w:tcW w:type="dxa" w:w="413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Publisher → Book</w:t>
            </w:r>
          </w:p>
        </w:tc>
        <w:tc>
          <w:tcPr>
            <w:tcW w:type="dxa" w:w="1644"/>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1 — 0..*</w:t>
            </w:r>
          </w:p>
        </w:tc>
        <w:tc>
          <w:tcPr>
            <w:tcW w:type="dxa" w:w="3855"/>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PublisherId</w:t>
            </w:r>
          </w:p>
        </w:tc>
      </w:tr>
      <w:tr>
        <w:trPr>
          <w:cantSplit/>
        </w:trPr>
        <w:tc>
          <w:tcPr>
            <w:tcW w:type="dxa" w:w="413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Book → BookAuthor</w:t>
            </w:r>
          </w:p>
        </w:tc>
        <w:tc>
          <w:tcPr>
            <w:tcW w:type="dxa" w:w="1644"/>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1 — 0..*</w:t>
            </w:r>
          </w:p>
        </w:tc>
        <w:tc>
          <w:tcPr>
            <w:tcW w:type="dxa" w:w="3855"/>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BookId</w:t>
            </w:r>
          </w:p>
        </w:tc>
      </w:tr>
      <w:tr>
        <w:trPr>
          <w:cantSplit/>
        </w:trPr>
        <w:tc>
          <w:tcPr>
            <w:tcW w:type="dxa" w:w="413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Author → BookAuthor</w:t>
            </w:r>
          </w:p>
        </w:tc>
        <w:tc>
          <w:tcPr>
            <w:tcW w:type="dxa" w:w="1644"/>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1 — 0..*</w:t>
            </w:r>
          </w:p>
        </w:tc>
        <w:tc>
          <w:tcPr>
            <w:tcW w:type="dxa" w:w="3855"/>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AuthorId</w:t>
            </w:r>
          </w:p>
        </w:tc>
      </w:tr>
      <w:tr>
        <w:trPr>
          <w:cantSplit/>
        </w:trPr>
        <w:tc>
          <w:tcPr>
            <w:tcW w:type="dxa" w:w="413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Book → BookCategory</w:t>
            </w:r>
          </w:p>
        </w:tc>
        <w:tc>
          <w:tcPr>
            <w:tcW w:type="dxa" w:w="1644"/>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1 — 0..*</w:t>
            </w:r>
          </w:p>
        </w:tc>
        <w:tc>
          <w:tcPr>
            <w:tcW w:type="dxa" w:w="3855"/>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BookId</w:t>
            </w:r>
          </w:p>
        </w:tc>
      </w:tr>
      <w:tr>
        <w:trPr>
          <w:cantSplit/>
        </w:trPr>
        <w:tc>
          <w:tcPr>
            <w:tcW w:type="dxa" w:w="413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Category → BookCategory</w:t>
            </w:r>
          </w:p>
        </w:tc>
        <w:tc>
          <w:tcPr>
            <w:tcW w:type="dxa" w:w="1644"/>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1 — 0..*</w:t>
            </w:r>
          </w:p>
        </w:tc>
        <w:tc>
          <w:tcPr>
            <w:tcW w:type="dxa" w:w="3855"/>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CategoryId</w:t>
            </w:r>
          </w:p>
        </w:tc>
      </w:tr>
      <w:tr>
        <w:trPr>
          <w:cantSplit/>
        </w:trPr>
        <w:tc>
          <w:tcPr>
            <w:tcW w:type="dxa" w:w="413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Book → BookCopy</w:t>
            </w:r>
          </w:p>
        </w:tc>
        <w:tc>
          <w:tcPr>
            <w:tcW w:type="dxa" w:w="1644"/>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1 — 0..*</w:t>
            </w:r>
          </w:p>
        </w:tc>
        <w:tc>
          <w:tcPr>
            <w:tcW w:type="dxa" w:w="3855"/>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BookId</w:t>
            </w:r>
          </w:p>
        </w:tc>
      </w:tr>
      <w:tr>
        <w:trPr>
          <w:cantSplit/>
        </w:trPr>
        <w:tc>
          <w:tcPr>
            <w:tcW w:type="dxa" w:w="413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Branch → StorageLocation</w:t>
            </w:r>
          </w:p>
        </w:tc>
        <w:tc>
          <w:tcPr>
            <w:tcW w:type="dxa" w:w="1644"/>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1 — 0..*</w:t>
            </w:r>
          </w:p>
        </w:tc>
        <w:tc>
          <w:tcPr>
            <w:tcW w:type="dxa" w:w="3855"/>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BranchId</w:t>
            </w:r>
          </w:p>
        </w:tc>
      </w:tr>
      <w:tr>
        <w:trPr>
          <w:cantSplit/>
        </w:trPr>
        <w:tc>
          <w:tcPr>
            <w:tcW w:type="dxa" w:w="413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StorageLocation → BookCopy</w:t>
            </w:r>
          </w:p>
        </w:tc>
        <w:tc>
          <w:tcPr>
            <w:tcW w:type="dxa" w:w="1644"/>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1 — 0..*</w:t>
            </w:r>
          </w:p>
        </w:tc>
        <w:tc>
          <w:tcPr>
            <w:tcW w:type="dxa" w:w="3855"/>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LocationId</w:t>
            </w:r>
          </w:p>
        </w:tc>
      </w:tr>
      <w:tr>
        <w:trPr>
          <w:cantSplit/>
        </w:trPr>
        <w:tc>
          <w:tcPr>
            <w:tcW w:type="dxa" w:w="413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Reader → Reservation</w:t>
            </w:r>
          </w:p>
        </w:tc>
        <w:tc>
          <w:tcPr>
            <w:tcW w:type="dxa" w:w="1644"/>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1 — 0..*</w:t>
            </w:r>
          </w:p>
        </w:tc>
        <w:tc>
          <w:tcPr>
            <w:tcW w:type="dxa" w:w="3855"/>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ReaderId</w:t>
            </w:r>
          </w:p>
        </w:tc>
      </w:tr>
      <w:tr>
        <w:trPr>
          <w:cantSplit/>
        </w:trPr>
        <w:tc>
          <w:tcPr>
            <w:tcW w:type="dxa" w:w="413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Book → Reservation</w:t>
            </w:r>
          </w:p>
        </w:tc>
        <w:tc>
          <w:tcPr>
            <w:tcW w:type="dxa" w:w="1644"/>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1 — 0..*</w:t>
            </w:r>
          </w:p>
        </w:tc>
        <w:tc>
          <w:tcPr>
            <w:tcW w:type="dxa" w:w="3855"/>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BookId</w:t>
            </w:r>
          </w:p>
        </w:tc>
      </w:tr>
      <w:tr>
        <w:trPr>
          <w:cantSplit/>
        </w:trPr>
        <w:tc>
          <w:tcPr>
            <w:tcW w:type="dxa" w:w="413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Branch → Reservation</w:t>
            </w:r>
          </w:p>
        </w:tc>
        <w:tc>
          <w:tcPr>
            <w:tcW w:type="dxa" w:w="1644"/>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1 — 0..*</w:t>
            </w:r>
          </w:p>
        </w:tc>
        <w:tc>
          <w:tcPr>
            <w:tcW w:type="dxa" w:w="3855"/>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PickupBranchId</w:t>
            </w:r>
          </w:p>
        </w:tc>
      </w:tr>
      <w:tr>
        <w:trPr>
          <w:cantSplit/>
        </w:trPr>
        <w:tc>
          <w:tcPr>
            <w:tcW w:type="dxa" w:w="413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Reader → Loan</w:t>
            </w:r>
          </w:p>
        </w:tc>
        <w:tc>
          <w:tcPr>
            <w:tcW w:type="dxa" w:w="1644"/>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1 — 0..*</w:t>
            </w:r>
          </w:p>
        </w:tc>
        <w:tc>
          <w:tcPr>
            <w:tcW w:type="dxa" w:w="3855"/>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ReaderId</w:t>
            </w:r>
          </w:p>
        </w:tc>
      </w:tr>
      <w:tr>
        <w:trPr>
          <w:cantSplit/>
        </w:trPr>
        <w:tc>
          <w:tcPr>
            <w:tcW w:type="dxa" w:w="413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Employee → Loan</w:t>
            </w:r>
          </w:p>
        </w:tc>
        <w:tc>
          <w:tcPr>
            <w:tcW w:type="dxa" w:w="1644"/>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1 — 0..*</w:t>
            </w:r>
          </w:p>
        </w:tc>
        <w:tc>
          <w:tcPr>
            <w:tcW w:type="dxa" w:w="3855"/>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IssuedByEmployeeId</w:t>
            </w:r>
          </w:p>
        </w:tc>
      </w:tr>
      <w:tr>
        <w:trPr>
          <w:cantSplit/>
        </w:trPr>
        <w:tc>
          <w:tcPr>
            <w:tcW w:type="dxa" w:w="413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Loan → LoanItem</w:t>
            </w:r>
          </w:p>
        </w:tc>
        <w:tc>
          <w:tcPr>
            <w:tcW w:type="dxa" w:w="1644"/>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1 — 1..*</w:t>
            </w:r>
          </w:p>
        </w:tc>
        <w:tc>
          <w:tcPr>
            <w:tcW w:type="dxa" w:w="3855"/>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LoanId</w:t>
            </w:r>
          </w:p>
        </w:tc>
      </w:tr>
      <w:tr>
        <w:trPr>
          <w:cantSplit/>
        </w:trPr>
        <w:tc>
          <w:tcPr>
            <w:tcW w:type="dxa" w:w="413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BookCopy → LoanItem</w:t>
            </w:r>
          </w:p>
        </w:tc>
        <w:tc>
          <w:tcPr>
            <w:tcW w:type="dxa" w:w="1644"/>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1 — 0..*</w:t>
            </w:r>
          </w:p>
        </w:tc>
        <w:tc>
          <w:tcPr>
            <w:tcW w:type="dxa" w:w="3855"/>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CopyId</w:t>
            </w:r>
          </w:p>
        </w:tc>
      </w:tr>
      <w:tr>
        <w:trPr>
          <w:cantSplit/>
        </w:trPr>
        <w:tc>
          <w:tcPr>
            <w:tcW w:type="dxa" w:w="413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Employee → LoanItem</w:t>
            </w:r>
          </w:p>
        </w:tc>
        <w:tc>
          <w:tcPr>
            <w:tcW w:type="dxa" w:w="1644"/>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0..1 — 0..*</w:t>
            </w:r>
          </w:p>
        </w:tc>
        <w:tc>
          <w:tcPr>
            <w:tcW w:type="dxa" w:w="3855"/>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ReturnedByEmployeeId</w:t>
            </w:r>
          </w:p>
        </w:tc>
      </w:tr>
      <w:tr>
        <w:trPr>
          <w:cantSplit/>
        </w:trPr>
        <w:tc>
          <w:tcPr>
            <w:tcW w:type="dxa" w:w="413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LoanItem → Fine</w:t>
            </w:r>
          </w:p>
        </w:tc>
        <w:tc>
          <w:tcPr>
            <w:tcW w:type="dxa" w:w="1644"/>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1 — 0..1</w:t>
            </w:r>
          </w:p>
        </w:tc>
        <w:tc>
          <w:tcPr>
            <w:tcW w:type="dxa" w:w="3855"/>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LoanItemId</w:t>
            </w:r>
          </w:p>
        </w:tc>
      </w:tr>
      <w:tr>
        <w:trPr>
          <w:cantSplit/>
        </w:trPr>
        <w:tc>
          <w:tcPr>
            <w:tcW w:type="dxa" w:w="413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Fine → Payment</w:t>
            </w:r>
          </w:p>
        </w:tc>
        <w:tc>
          <w:tcPr>
            <w:tcW w:type="dxa" w:w="1644"/>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1 — 0..*</w:t>
            </w:r>
          </w:p>
        </w:tc>
        <w:tc>
          <w:tcPr>
            <w:tcW w:type="dxa" w:w="3855"/>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FineId</w:t>
            </w:r>
          </w:p>
        </w:tc>
      </w:tr>
      <w:tr>
        <w:trPr>
          <w:cantSplit/>
        </w:trPr>
        <w:tc>
          <w:tcPr>
            <w:tcW w:type="dxa" w:w="4139"/>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Employee → Payment</w:t>
            </w:r>
          </w:p>
        </w:tc>
        <w:tc>
          <w:tcPr>
            <w:tcW w:type="dxa" w:w="1644"/>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1 — 0..*</w:t>
            </w:r>
          </w:p>
        </w:tc>
        <w:tc>
          <w:tcPr>
            <w:tcW w:type="dxa" w:w="3855"/>
            <w:vAlign w:val="center"/>
            <w:tcMar>
              <w:top w:w="100" w:type="dxa"/>
              <w:left w:w="100" w:type="dxa"/>
              <w:bottom w:w="100" w:type="dxa"/>
              <w:right w:w="100" w:type="dxa"/>
            </w:tcMar>
          </w:tcPr>
          <w:p>
            <w:pPr>
              <w:spacing w:after="0" w:line="252" w:lineRule="auto"/>
              <w:ind w:firstLine="0"/>
            </w:pPr>
            <w:r>
              <w:rPr>
                <w:rFonts w:ascii="Times New Roman" w:hAnsi="Times New Roman" w:eastAsia="Times New Roman"/>
                <w:b w:val="0"/>
                <w:color w:val="000000"/>
                <w:sz w:val="22"/>
              </w:rPr>
              <w:t>ReceivedByEmployeeId</w:t>
            </w:r>
          </w:p>
        </w:tc>
      </w:tr>
    </w:tbl>
    <w:p>
      <w:pPr>
        <w:spacing w:line="276" w:lineRule="auto" w:after="120"/>
        <w:ind w:firstLine="709"/>
        <w:jc w:val="both"/>
      </w:pPr>
      <w:r>
        <w:rPr>
          <w:rFonts w:ascii="Times New Roman" w:hAnsi="Times New Roman" w:eastAsia="Times New Roman"/>
          <w:b w:val="0"/>
          <w:color w:val="000000"/>
          <w:sz w:val="24"/>
        </w:rPr>
        <w:t>Связь Employee–LoanItem допускает 0..1 сотрудника со стороны позиции, поскольку до возврата ReturnedByEmployeeId отсутствует. Для завершённого возврата сотрудник и ReturnedAt должны присутствовать одновременно. На одну позицию допускается не более одного штрафа; частичные оплаты представлены отдельными платежами.</w:t>
      </w:r>
    </w:p>
    <w:p>
      <w:r>
        <w:br w:type="page"/>
      </w:r>
    </w:p>
    <w:p>
      <w:pPr>
        <w:pStyle w:val="Heading1"/>
        <w:spacing w:before="160" w:after="100"/>
        <w:ind w:firstLine="0"/>
      </w:pPr>
      <w:r>
        <w:rPr>
          <w:rFonts w:ascii="Times New Roman" w:hAnsi="Times New Roman" w:eastAsia="Times New Roman"/>
          <w:b/>
          <w:color w:val="000000"/>
          <w:sz w:val="32"/>
        </w:rPr>
        <w:t>Основные сценарии работы</w:t>
      </w:r>
    </w:p>
    <w:p>
      <w:pPr>
        <w:pStyle w:val="Heading2"/>
        <w:spacing w:before="160" w:after="100"/>
        <w:ind w:firstLine="0"/>
      </w:pPr>
      <w:r>
        <w:rPr>
          <w:rFonts w:ascii="Times New Roman" w:hAnsi="Times New Roman" w:eastAsia="Times New Roman"/>
          <w:b/>
          <w:color w:val="000000"/>
          <w:sz w:val="28"/>
        </w:rPr>
        <w:t>Сценарий 1 Регистрация и бронирование</w:t>
      </w:r>
    </w:p>
    <w:p>
      <w:pPr>
        <w:spacing w:line="276" w:lineRule="auto" w:after="120"/>
        <w:ind w:firstLine="709"/>
        <w:jc w:val="both"/>
      </w:pPr>
      <w:r>
        <w:rPr>
          <w:rFonts w:ascii="Times New Roman" w:hAnsi="Times New Roman" w:eastAsia="Times New Roman"/>
          <w:b w:val="0"/>
          <w:color w:val="000000"/>
          <w:sz w:val="28"/>
        </w:rPr>
        <w:t>Библиотекарь регистрирует нового читателя с билетом CARD-003. Читатель выбирает издание BookId 1 и главный филиал BranchId 1. Система создаёт Reservation со статусом queued. Этот сценарий соответствует A21 и A22; данные читателя и запрос преобразуются в читательский билет и бронирование.</w:t>
      </w:r>
    </w:p>
    <w:p>
      <w:pPr>
        <w:pStyle w:val="Heading2"/>
        <w:spacing w:before="160" w:after="100"/>
        <w:ind w:firstLine="0"/>
      </w:pPr>
      <w:r>
        <w:rPr>
          <w:rFonts w:ascii="Times New Roman" w:hAnsi="Times New Roman" w:eastAsia="Times New Roman"/>
          <w:b/>
          <w:color w:val="000000"/>
          <w:sz w:val="28"/>
        </w:rPr>
        <w:t>Сценарий 2 Выдача книги</w:t>
      </w:r>
    </w:p>
    <w:p>
      <w:pPr>
        <w:spacing w:line="276" w:lineRule="auto" w:after="120"/>
        <w:ind w:firstLine="709"/>
        <w:jc w:val="both"/>
      </w:pPr>
      <w:r>
        <w:rPr>
          <w:rFonts w:ascii="Times New Roman" w:hAnsi="Times New Roman" w:eastAsia="Times New Roman"/>
          <w:b w:val="0"/>
          <w:color w:val="000000"/>
          <w:sz w:val="28"/>
        </w:rPr>
        <w:t>Для проверенного запроса подбирается доступный экземпляр CopyId 1. В одной транзакции создаются Loan и LoanItem со сроком возврата 15 октября 2026 года в 18:00; бронирование переводится в fulfilled. Экземпляр исключается из доступных, потому что имеет активную позицию выдачи. Сценарий соответствует A31–A33.</w:t>
      </w:r>
    </w:p>
    <w:p>
      <w:pPr>
        <w:pStyle w:val="Heading2"/>
        <w:spacing w:before="160" w:after="100"/>
        <w:ind w:firstLine="0"/>
      </w:pPr>
      <w:r>
        <w:rPr>
          <w:rFonts w:ascii="Times New Roman" w:hAnsi="Times New Roman" w:eastAsia="Times New Roman"/>
          <w:b/>
          <w:color w:val="000000"/>
          <w:sz w:val="28"/>
        </w:rPr>
        <w:t>Сценарий 3 Возврат и оплата штрафа</w:t>
      </w:r>
    </w:p>
    <w:p>
      <w:pPr>
        <w:spacing w:line="276" w:lineRule="auto" w:after="120"/>
        <w:ind w:firstLine="709"/>
        <w:jc w:val="both"/>
      </w:pPr>
      <w:r>
        <w:rPr>
          <w:rFonts w:ascii="Times New Roman" w:hAnsi="Times New Roman" w:eastAsia="Times New Roman"/>
          <w:b w:val="0"/>
          <w:color w:val="000000"/>
          <w:sz w:val="28"/>
        </w:rPr>
        <w:t>В контрольном примере экземпляр возвращается 18 октября 2026 года. Позиция закрывается, а по условному тарифу 10 рублей за календарный день просрочки начисляется 30 рублей, или 3000 копеек. Первый платёж 1000 копеек оставляет долг 2000 копеек, второй платёж погашает остаток. Долг становится равным нулю, пригодный экземпляр доступен для новой выдачи. Сценарий соответствует A41–A43.</w:t>
      </w:r>
    </w:p>
    <w:p>
      <w:pPr>
        <w:pStyle w:val="Heading2"/>
        <w:spacing w:before="160" w:after="100"/>
        <w:ind w:firstLine="0"/>
      </w:pPr>
      <w:r>
        <w:rPr>
          <w:rFonts w:ascii="Times New Roman" w:hAnsi="Times New Roman" w:eastAsia="Times New Roman"/>
          <w:b/>
          <w:color w:val="000000"/>
          <w:sz w:val="28"/>
        </w:rPr>
        <w:t>Проверка модели и сценариев</w:t>
      </w:r>
    </w:p>
    <w:p>
      <w:pPr>
        <w:spacing w:line="276" w:lineRule="auto" w:after="120"/>
        <w:ind w:firstLine="709"/>
        <w:jc w:val="both"/>
      </w:pPr>
      <w:r>
        <w:rPr>
          <w:rFonts w:ascii="Times New Roman" w:hAnsi="Times New Roman" w:eastAsia="Times New Roman"/>
          <w:b w:val="0"/>
          <w:color w:val="000000"/>
          <w:sz w:val="28"/>
        </w:rPr>
        <w:t>Выполнены 42 автоматические проверки. Подтверждены декомпозиция всех функций A0, наличие I/O/C/M, баланс граничных стрелок, 16 сущностей, 19 связей и соответствие внешних ключей ER-модели схеме SQLite. Проверены запрет двойной активной выдачи, ограничения для заблокированного читателя и неисправного экземпляра, лимит пяти книг, сроки возврата и корректность расчётов.</w:t>
      </w:r>
    </w:p>
    <w:p>
      <w:pPr>
        <w:spacing w:line="276" w:lineRule="auto" w:after="120"/>
        <w:ind w:firstLine="709"/>
        <w:jc w:val="both"/>
      </w:pPr>
      <w:r>
        <w:rPr>
          <w:rFonts w:ascii="Times New Roman" w:hAnsi="Times New Roman" w:eastAsia="Times New Roman"/>
          <w:b w:val="0"/>
          <w:color w:val="000000"/>
          <w:sz w:val="24"/>
        </w:rPr>
        <w:t>Три основных сценария выполнены на настоящей временной базе SQLite. PRAGMA foreign_key_check не обнаружила нарушений, PRAGMA integrity_check вернула ok. Результаты сохранены в evidence/checks.txt и evidence/scenarios.json. Для повторения проверок используется команда python scripts/verify.py.</w:t>
      </w:r>
    </w:p>
    <w:p>
      <w:r>
        <w:br w:type="page"/>
      </w:r>
    </w:p>
    <w:p>
      <w:pPr>
        <w:pStyle w:val="Heading1"/>
        <w:spacing w:before="160" w:after="100"/>
        <w:ind w:firstLine="0"/>
      </w:pPr>
      <w:r>
        <w:rPr>
          <w:rFonts w:ascii="Times New Roman" w:hAnsi="Times New Roman" w:eastAsia="Times New Roman"/>
          <w:b/>
          <w:color w:val="000000"/>
          <w:sz w:val="32"/>
        </w:rPr>
        <w:t>Вывод</w:t>
      </w:r>
    </w:p>
    <w:p>
      <w:pPr>
        <w:spacing w:line="276" w:lineRule="auto" w:after="120"/>
        <w:ind w:firstLine="709"/>
        <w:jc w:val="both"/>
      </w:pPr>
      <w:r>
        <w:rPr>
          <w:rFonts w:ascii="Times New Roman" w:hAnsi="Times New Roman" w:eastAsia="Times New Roman"/>
          <w:b w:val="0"/>
          <w:color w:val="000000"/>
          <w:sz w:val="28"/>
        </w:rPr>
        <w:t>Разработана функциональная модель библиотечного обслуживания в нотации IDEF0: контекст A-0, верхний уровень A0 и декомпозиции A1–A4. Создана ER-модель из 16 сущностей с ключевыми атрибутами и кардинальностями 19 связей. Модели согласованы с описанными процессами учёта фонда, бронирования, выдачи, возврата и расчётов. Схема SQLite и выполненные сценарии подтверждают согласованность структуры данных и выбранных ограничений.</w:t>
      </w:r>
    </w:p>
    <w:p>
      <w:pPr>
        <w:pStyle w:val="Heading2"/>
        <w:spacing w:before="160" w:after="100"/>
        <w:ind w:firstLine="0"/>
      </w:pPr>
      <w:r>
        <w:rPr>
          <w:rFonts w:ascii="Times New Roman" w:hAnsi="Times New Roman" w:eastAsia="Times New Roman"/>
          <w:b/>
          <w:color w:val="000000"/>
          <w:sz w:val="28"/>
        </w:rPr>
        <w:t>Состав материалов</w:t>
      </w:r>
    </w:p>
    <w:p>
      <w:pPr>
        <w:spacing w:line="276" w:lineRule="auto" w:after="120"/>
        <w:ind w:firstLine="709"/>
        <w:jc w:val="both"/>
      </w:pPr>
      <w:r>
        <w:rPr>
          <w:rFonts w:ascii="Times New Roman" w:hAnsi="Times New Roman" w:eastAsia="Times New Roman"/>
          <w:b w:val="0"/>
          <w:color w:val="000000"/>
          <w:sz w:val="28"/>
        </w:rPr>
        <w:t>Отчёт: reports/ЛР03.docx. Редактируемая функциональная модель: diagrams/idef0/library_idef0.drawio. Исходник ER-модели: diagrams/er/library_er.puml. Векторные экспорты и PNG находятся в diagrams, модели для проверки — в model, SQL-схема и примеры — в schema, скрипты — в scripts, проверки — в tests, результаты запусков — в evidence.</w:t>
      </w:r>
    </w:p>
    <w:p>
      <w:pPr>
        <w:pStyle w:val="Heading2"/>
        <w:spacing w:before="160" w:after="100"/>
        <w:ind w:firstLine="0"/>
      </w:pPr>
      <w:r>
        <w:rPr>
          <w:rFonts w:ascii="Times New Roman" w:hAnsi="Times New Roman" w:eastAsia="Times New Roman"/>
          <w:b/>
          <w:color w:val="000000"/>
          <w:sz w:val="28"/>
        </w:rPr>
        <w:t>Источники</w:t>
      </w:r>
    </w:p>
    <w:p>
      <w:pPr>
        <w:spacing w:line="276" w:lineRule="auto" w:after="120"/>
        <w:ind w:firstLine="0"/>
        <w:jc w:val="left"/>
      </w:pPr>
      <w:r>
        <w:rPr>
          <w:rFonts w:ascii="Times New Roman" w:hAnsi="Times New Roman" w:eastAsia="Times New Roman"/>
          <w:b w:val="0"/>
          <w:color w:val="000000"/>
          <w:sz w:val="24"/>
        </w:rPr>
        <w:t>1. Задание лабораторного практикума 3. Тема «Построение IDEF0 и UML/ER-диаграмм».</w:t>
      </w:r>
    </w:p>
    <w:p>
      <w:pPr>
        <w:spacing w:line="276" w:lineRule="auto" w:after="120"/>
        <w:ind w:firstLine="0"/>
        <w:jc w:val="left"/>
      </w:pPr>
      <w:r>
        <w:rPr>
          <w:rFonts w:ascii="Times New Roman" w:hAnsi="Times New Roman" w:eastAsia="Times New Roman"/>
          <w:b w:val="0"/>
          <w:color w:val="000000"/>
          <w:sz w:val="24"/>
        </w:rPr>
        <w:t>2. Образец оформления отчёта по дисциплине «Коллективная разработка приложений».</w:t>
      </w:r>
    </w:p>
    <w:p>
      <w:pPr>
        <w:spacing w:line="276" w:lineRule="auto" w:after="120"/>
        <w:ind w:firstLine="0"/>
        <w:jc w:val="left"/>
      </w:pPr>
      <w:r>
        <w:rPr>
          <w:rFonts w:ascii="Times New Roman" w:hAnsi="Times New Roman" w:eastAsia="Times New Roman"/>
          <w:b w:val="0"/>
          <w:color w:val="000000"/>
          <w:sz w:val="24"/>
        </w:rPr>
        <w:t>3. NIST. FIPS PUB 183. Integration Definition for Function Modeling IDEF0. 1993. https://nvlpubs.nist.gov/nistpubs/Legacy/FIPS/fipspub183.pdf</w:t>
      </w:r>
    </w:p>
    <w:p>
      <w:pPr>
        <w:spacing w:line="276" w:lineRule="auto" w:after="120"/>
        <w:ind w:firstLine="0"/>
        <w:jc w:val="left"/>
      </w:pPr>
      <w:r>
        <w:rPr>
          <w:rFonts w:ascii="Times New Roman" w:hAnsi="Times New Roman" w:eastAsia="Times New Roman"/>
          <w:b w:val="0"/>
          <w:color w:val="000000"/>
          <w:sz w:val="24"/>
        </w:rPr>
        <w:t>4. Diagrams.net. Generate and validate draw.io diagrams. https://www.drawio.com/docs/reference/diagram-generation/</w:t>
      </w:r>
    </w:p>
    <w:p>
      <w:pPr>
        <w:spacing w:line="276" w:lineRule="auto" w:after="120"/>
        <w:ind w:firstLine="0"/>
        <w:jc w:val="left"/>
      </w:pPr>
      <w:r>
        <w:rPr>
          <w:rFonts w:ascii="Times New Roman" w:hAnsi="Times New Roman" w:eastAsia="Times New Roman"/>
          <w:b w:val="0"/>
          <w:color w:val="000000"/>
          <w:sz w:val="24"/>
        </w:rPr>
        <w:t>5. PlantUML. Information Engineering diagram. https://plantuml.com/ie-diagram</w:t>
      </w:r>
    </w:p>
    <w:p>
      <w:pPr>
        <w:spacing w:line="276" w:lineRule="auto" w:after="120"/>
        <w:ind w:firstLine="0"/>
        <w:jc w:val="left"/>
      </w:pPr>
      <w:r>
        <w:rPr>
          <w:rFonts w:ascii="Times New Roman" w:hAnsi="Times New Roman" w:eastAsia="Times New Roman"/>
          <w:b w:val="0"/>
          <w:color w:val="000000"/>
          <w:sz w:val="24"/>
        </w:rPr>
        <w:t>6. SQLite. Foreign Key Support. https://www.sqlite.org/foreignkeys.html</w:t>
      </w:r>
    </w:p>
    <w:sectPr>
      <w:footerReference w:type="default" r:id="rId23"/>
      <w:pgSz w:w="11906" w:h="16838"/>
      <w:pgMar w:top="1134" w:right="850" w:bottom="1134" w:left="1417" w:header="283"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347"/>
    <w:rsid w:val="00146378"/>
    <w:rsid w:val="001B2838"/>
    <w:rsid w:val="001F58C2"/>
    <w:rsid w:val="002342F4"/>
    <w:rsid w:val="00395258"/>
    <w:rsid w:val="003B7CF3"/>
    <w:rsid w:val="003D7DFE"/>
    <w:rsid w:val="00407595"/>
    <w:rsid w:val="004B2CA7"/>
    <w:rsid w:val="004F635C"/>
    <w:rsid w:val="0050097F"/>
    <w:rsid w:val="005A1347"/>
    <w:rsid w:val="005B6EA3"/>
    <w:rsid w:val="006C0761"/>
    <w:rsid w:val="007A5EF1"/>
    <w:rsid w:val="007D3176"/>
    <w:rsid w:val="007D370F"/>
    <w:rsid w:val="009F497A"/>
    <w:rsid w:val="00B250A8"/>
    <w:rsid w:val="00B964E4"/>
    <w:rsid w:val="00C03156"/>
    <w:rsid w:val="00CC2372"/>
    <w:rsid w:val="00CF67C9"/>
    <w:rsid w:val="00D66D97"/>
    <w:rsid w:val="00D7259F"/>
    <w:rsid w:val="00DE5FC7"/>
    <w:rsid w:val="00F629FF"/>
    <w:rsid w:val="00F7297F"/>
    <w:rsid w:val="00F820C9"/>
    <w:rsid w:val="00F878E8"/>
    <w:rsid w:val="00FA52BF"/>
    <w:rsid w:val="00FF1C12"/>
    <w:rsid w:val="00FF6E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FB600"/>
  <w15:chartTrackingRefBased/>
  <w15:docId w15:val="{79064602-118A-454C-9062-82D55E07B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hAnsi="Times New Roman"/>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A13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
    <w:name w:val="Title"/>
    <w:basedOn w:val="a"/>
    <w:pPr>
      <w:keepNext/>
    </w:pPr>
    <w:rPr>
      <w:rFonts w:ascii="Times New Roman" w:hAnsi="Times New Roman"/>
      <w:color w:val="000000"/>
    </w:rPr>
  </w:style>
  <w:style w:type="paragraph" w:customStyle="1" w:styleId="Heading1">
    <w:name w:val="heading 1"/>
    <w:basedOn w:val="a"/>
    <w:pPr>
      <w:keepNext/>
    </w:pPr>
    <w:rPr>
      <w:rFonts w:ascii="Times New Roman" w:hAnsi="Times New Roman"/>
      <w:color w:val="000000"/>
    </w:rPr>
  </w:style>
  <w:style w:type="paragraph" w:customStyle="1" w:styleId="Heading2">
    <w:name w:val="heading 2"/>
    <w:basedOn w:val="a"/>
    <w:pPr>
      <w:keepNext/>
    </w:pPr>
    <w:rPr>
      <w:rFonts w:ascii="Times New Roman" w:hAnsi="Times New Roman"/>
      <w:color w:val="000000"/>
    </w:rPr>
  </w:style>
  <w:style w:type="paragraph" w:customStyle="1" w:styleId="Heading3">
    <w:name w:val="heading 3"/>
    <w:basedOn w:val="a"/>
    <w:pPr>
      <w:keepNext/>
    </w:pPr>
    <w:rPr>
      <w:rFonts w:ascii="Times New Roman" w:hAnsi="Times New Roman"/>
      <w:color w:val="000000"/>
    </w:rPr>
  </w:style>
  <w:style w:type="paragraph" w:customStyle="1" w:styleId="Code">
    <w:name w:val="Code"/>
    <w:pPr>
      <w:widowControl w:val="0"/>
      <w:spacing w:before="0" w:after="0" w:line="240" w:lineRule="auto"/>
      <w:ind w:firstLine="0"/>
    </w:pPr>
    <w:rPr>
      <w:rFonts w:ascii="DejaVu Sans Mono" w:hAnsi="DejaVu Sans Mono"/>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2.png"/><Relationship Id="rId11" Type="http://schemas.openxmlformats.org/officeDocument/2006/relationships/footer" Target="footer4.xml"/><Relationship Id="rId12" Type="http://schemas.openxmlformats.org/officeDocument/2006/relationships/image" Target="media/image3.png"/><Relationship Id="rId13" Type="http://schemas.openxmlformats.org/officeDocument/2006/relationships/footer" Target="footer5.xml"/><Relationship Id="rId14" Type="http://schemas.openxmlformats.org/officeDocument/2006/relationships/image" Target="media/image4.png"/><Relationship Id="rId15" Type="http://schemas.openxmlformats.org/officeDocument/2006/relationships/footer" Target="footer6.xml"/><Relationship Id="rId16" Type="http://schemas.openxmlformats.org/officeDocument/2006/relationships/image" Target="media/image5.png"/><Relationship Id="rId17" Type="http://schemas.openxmlformats.org/officeDocument/2006/relationships/footer" Target="footer7.xml"/><Relationship Id="rId18" Type="http://schemas.openxmlformats.org/officeDocument/2006/relationships/image" Target="media/image6.png"/><Relationship Id="rId19" Type="http://schemas.openxmlformats.org/officeDocument/2006/relationships/footer" Target="footer8.xml"/><Relationship Id="rId20" Type="http://schemas.openxmlformats.org/officeDocument/2006/relationships/image" Target="media/image7.png"/><Relationship Id="rId21" Type="http://schemas.openxmlformats.org/officeDocument/2006/relationships/footer" Target="footer9.xml"/><Relationship Id="rId22" Type="http://schemas.openxmlformats.org/officeDocument/2006/relationships/image" Target="media/image8.png"/><Relationship Id="rId23" Type="http://schemas.openxmlformats.org/officeDocument/2006/relationships/footer" Target="footer10.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173</Words>
  <Characters>990</Characters>
  <Application>Microsoft Office Word</Application>
  <DocSecurity>0</DocSecurity>
  <Lines>8</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3 Построение IDEF0 и UML ER диаграмм</dc:title>
  <dc:subject>Коллективная разработка приложений</dc:subject>
  <dc:creator>Тишин М. С.</dc:creator>
  <cp:keywords/>
  <dc:description/>
  <cp:lastModifiedBy>Тишин М. С.</cp:lastModifiedBy>
  <cp:revision>2</cp:revision>
  <dcterms:created xsi:type="dcterms:W3CDTF">2026-02-22T04:36:00Z</dcterms:created>
  <dcterms:modified xsi:type="dcterms:W3CDTF">2026-02-22T04:36:00Z</dcterms:modified>
</cp:coreProperties>
</file>