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PubMed Cancer Research Daily Brief</w:t>
      </w:r>
    </w:p>
    <w:p>
      <w:r>
        <w:t>日期：2026-07-04</w:t>
      </w:r>
    </w:p>
    <w:p>
      <w:r>
        <w:t>检索时间：北京时间 04:12</w:t>
      </w:r>
    </w:p>
    <w:p>
      <w:r>
        <w:t>检索范围：过去 24 小时 PubMed 新发表或新收录文献</w:t>
      </w:r>
    </w:p>
    <w:p>
      <w:pPr>
        <w:pStyle w:val="Heading1"/>
      </w:pPr>
      <w:r>
        <w:t>1. 今日最值得关注的热点</w:t>
      </w:r>
    </w:p>
    <w:p>
      <w:pPr>
        <w:pStyle w:val="ListBullet"/>
      </w:pPr>
      <w:r>
        <w:t>单细胞测序与空间转录组：今日检索到可关注文献，代表题名包括 ITGAX is associated with poor prognosis and an immune-inflammatory microenvironment in clear cell renal cell carcinoma.；Characterizing tumor-associated endothelial cells in clear cell renal cell carcinoma via scRNA-seq and Bulk RNA-seq: construction of a prognostic risk signature.。可为 ccRCC 的机制假设、队列分析或验证体系提供借鉴。</w:t>
      </w:r>
    </w:p>
    <w:p>
      <w:pPr>
        <w:pStyle w:val="ListBullet"/>
      </w:pPr>
      <w:r>
        <w:t>生物学实验与机制验证：今日检索到可关注文献，代表题名包括 Unveiling the comorbidity hub: WT1 drives renal cancer progression in chronic kidney disease and confers sirolimus vulnerability.；Human cancer genomes harbor the mutational signature of tobacco-specific nitrosamines NNN and NNK.。可为 ccRCC 的机制假设、队列分析或验证体系提供借鉴。</w:t>
      </w:r>
    </w:p>
    <w:p>
      <w:pPr>
        <w:pStyle w:val="ListBullet"/>
      </w:pPr>
      <w:r>
        <w:t>乳酸化、肿瘤代谢与表观遗传：今日检索到可关注文献，代表题名包括 Histone lactylation-driven IGF2BP3 promotes intrahepatic cholangiocarcinoma progression via SPP1/CD44-dependent macrophage polarization.；Periodontitis-Aggravated Diabetic Kidney Disease with Altered Glycolysis.。可为 ccRCC 的机制假设、队列分析或验证体系提供借鉴。</w:t>
      </w:r>
    </w:p>
    <w:p>
      <w:pPr>
        <w:pStyle w:val="ListBullet"/>
      </w:pPr>
      <w:r>
        <w:t>病理组学、影像组学、AI 与多模态建模：今日检索到可关注文献，代表题名包括 The application of artificial intelligence in adrenal imaging: current state of knowledge, challenges, and future directions.；Structural-functional network decoupling in early stage amyotrophic lateral sclerosis reveals cell-type specific transcriptional signatures.。可为 ccRCC 的机制假设、队列分析或验证体系提供借鉴。</w:t>
      </w:r>
    </w:p>
    <w:p>
      <w:pPr>
        <w:pStyle w:val="ListBullet"/>
      </w:pPr>
      <w:r>
        <w:t>UK Biobank、MR、多组学队列与流行病学数据库挖掘：今日检索到可关注文献，代表题名包括 Genome-wide association study and predictors of neonatal blood cell traits in Hispanic newborns.；Metabolomic and Proteomic Signatures of Cardiorespiratory Fitness for Predicting All-Cause Mortality and Non-Communicable Disease Risk: A Prospective Study in the UK Biobank.。可为 ccRCC 的机制假设、队列分析或验证体系提供借鉴。</w:t>
      </w:r>
    </w:p>
    <w:p>
      <w:pPr>
        <w:pStyle w:val="Heading1"/>
      </w:pPr>
      <w:r>
        <w:t>2. 按方向汇报文献</w:t>
      </w:r>
    </w:p>
    <w:p>
      <w:pPr>
        <w:pStyle w:val="Heading2"/>
      </w:pPr>
      <w:r>
        <w:t>方向一：单细胞测序与空间转录组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ITGAX is associated with poor prognosis and an immune-inflammatory microenvironment in clear cell renal cell carcinoma.</w:t>
      </w:r>
    </w:p>
    <w:p>
      <w:r>
        <w:rPr>
          <w:b/>
        </w:rPr>
        <w:t xml:space="preserve">Journal: </w:t>
      </w:r>
      <w:r>
        <w:t>BMC cancer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2026-07-02</w:t>
      </w:r>
    </w:p>
    <w:p>
      <w:r>
        <w:rPr>
          <w:b/>
        </w:rPr>
        <w:t xml:space="preserve">PMID: </w:t>
      </w:r>
      <w:r>
        <w:t>42387425</w:t>
      </w:r>
    </w:p>
    <w:p>
      <w:r>
        <w:rPr>
          <w:b/>
        </w:rPr>
        <w:t xml:space="preserve">DOI: </w:t>
      </w:r>
      <w:r>
        <w:t>10.1186/s12885-026-16432-1</w:t>
      </w:r>
    </w:p>
    <w:p>
      <w:r>
        <w:rPr>
          <w:b/>
        </w:rPr>
        <w:t xml:space="preserve">Authors: </w:t>
      </w:r>
      <w:r>
        <w:t>Xuehua Chen, Zongrong Lin, Ranran Zhang, Haomin Xie, Weiyi Kong, Zhenyang Fu, Xiaojuan Pei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profiling；functional/mechanistic validation</w:t>
      </w:r>
    </w:p>
    <w:p>
      <w:r>
        <w:rPr>
          <w:b/>
        </w:rPr>
        <w:t xml:space="preserve">Main findings: </w:t>
      </w:r>
      <w:r>
        <w:t>BACKGROUND: Integrin alpha X (ITGAX, CD11c) functions as a leukocyte adhesion molecule vital for immune cell activation, antigen presentation, and inflammatory responses.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https://pubmed.ncbi.nlm.nih.gov/42387425/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Characterizing tumor-associated endothelial cells in clear cell renal cell carcinoma via scRNA-seq and Bulk RNA-seq: construction of a prognostic risk signature.</w:t>
      </w:r>
    </w:p>
    <w:p>
      <w:r>
        <w:rPr>
          <w:b/>
        </w:rPr>
        <w:t xml:space="preserve">Journal: </w:t>
      </w:r>
      <w:r>
        <w:t>Archives of biochemistry and biophysics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42392347</w:t>
      </w:r>
    </w:p>
    <w:p>
      <w:r>
        <w:rPr>
          <w:b/>
        </w:rPr>
        <w:t xml:space="preserve">DOI: </w:t>
      </w:r>
      <w:r>
        <w:t>10.1016/j.abb.2026.110919</w:t>
      </w:r>
    </w:p>
    <w:p>
      <w:r>
        <w:rPr>
          <w:b/>
        </w:rPr>
        <w:t xml:space="preserve">Authors: </w:t>
      </w:r>
      <w:r>
        <w:t>Qing Liu, Wenxing Cao, Zhouhua Hao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single-cell/spatial profiling；functional/mechanistic validation</w:t>
      </w:r>
    </w:p>
    <w:p>
      <w:r>
        <w:rPr>
          <w:b/>
        </w:rPr>
        <w:t xml:space="preserve">Main findings: </w:t>
      </w:r>
      <w:r>
        <w:t>BACKGROUND: Tumor-associated endothelial cells (TAECs) are integral components of the clear cell renal cell carcinoma (ccRCC) microenvironment, but their gene expression-based prognostic value and functional relevance remain to be defined.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https://pubmed.ncbi.nlm.nih.gov/42392347/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Single cell spatial transcriptomics track the evolutionary hierarchy and microenvironment remodeling during breast carcinoma invasion.</w:t>
      </w:r>
    </w:p>
    <w:p>
      <w:r>
        <w:rPr>
          <w:b/>
        </w:rPr>
        <w:t xml:space="preserve">Journal: </w:t>
      </w:r>
      <w:r>
        <w:t>Nature communications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42393057</w:t>
      </w:r>
    </w:p>
    <w:p>
      <w:r>
        <w:rPr>
          <w:b/>
        </w:rPr>
        <w:t xml:space="preserve">DOI: </w:t>
      </w:r>
      <w:r>
        <w:t>10.1038/s41467-026-74954-5</w:t>
      </w:r>
    </w:p>
    <w:p>
      <w:r>
        <w:rPr>
          <w:b/>
        </w:rPr>
        <w:t xml:space="preserve">Authors: </w:t>
      </w:r>
      <w:r>
        <w:t>Di Wang, Qichen Dai, Jingwen Guo, Dan Li, Changyuan Guo, Peiqing Ma, Feng Wen, Xiangyu Tong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</w:t>
      </w:r>
    </w:p>
    <w:p>
      <w:r>
        <w:rPr>
          <w:b/>
        </w:rPr>
        <w:t xml:space="preserve">Main findings: </w:t>
      </w:r>
      <w:r>
        <w:t>The progression from ductal carcinoma in situ (DCIS) to invasive breast carcinoma (IBC) critically determines patient outcomes, yet its mechanisms remain incompletely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https://pubmed.ncbi.nlm.nih.gov/42393057/</w:t>
      </w:r>
    </w:p>
    <w:p>
      <w:pPr>
        <w:pStyle w:val="Heading2"/>
      </w:pPr>
      <w:r>
        <w:t>方向二：生物学实验与机制验证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Unveiling the comorbidity hub: WT1 drives renal cancer progression in chronic kidney disease and confers sirolimus vulnerability.</w:t>
      </w:r>
    </w:p>
    <w:p>
      <w:r>
        <w:rPr>
          <w:b/>
        </w:rPr>
        <w:t xml:space="preserve">Journal: </w:t>
      </w:r>
      <w:r>
        <w:t>Experimental and therapeutic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Aug; PubMed indexed date: 2026-07-02</w:t>
      </w:r>
    </w:p>
    <w:p>
      <w:r>
        <w:rPr>
          <w:b/>
        </w:rPr>
        <w:t xml:space="preserve">PMID: </w:t>
      </w:r>
      <w:r>
        <w:t>42389452</w:t>
      </w:r>
    </w:p>
    <w:p>
      <w:r>
        <w:rPr>
          <w:b/>
        </w:rPr>
        <w:t xml:space="preserve">DOI: </w:t>
      </w:r>
      <w:r>
        <w:t>10.3892/etm.2026.13214</w:t>
      </w:r>
    </w:p>
    <w:p>
      <w:r>
        <w:rPr>
          <w:b/>
        </w:rPr>
        <w:t xml:space="preserve">Authors: </w:t>
      </w:r>
      <w:r>
        <w:t>Wei Zhang, Peng Tang, Shuyan Wu, Ziqi Sui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</w:t>
      </w:r>
    </w:p>
    <w:p>
      <w:r>
        <w:rPr>
          <w:b/>
        </w:rPr>
        <w:t xml:space="preserve">Main findings: </w:t>
      </w:r>
      <w:r>
        <w:t>Chronic kidney disease (CKD) is epidemiologically linked to renal cell carcinoma (RCC); however, the biological mechanisms underlying this association remain unclear.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https://pubmed.ncbi.nlm.nih.gov/42389452/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Human cancer genomes harbor the mutational signature of tobacco-specific nitrosamines NNN and NNK.</w:t>
      </w:r>
    </w:p>
    <w:p>
      <w:r>
        <w:rPr>
          <w:b/>
        </w:rPr>
        <w:t xml:space="preserve">Journal: </w:t>
      </w:r>
      <w:r>
        <w:t>Genome medicine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42393796</w:t>
      </w:r>
    </w:p>
    <w:p>
      <w:r>
        <w:rPr>
          <w:b/>
        </w:rPr>
        <w:t xml:space="preserve">DOI: </w:t>
      </w:r>
      <w:r>
        <w:t>10.1186/s13073-026-01685-z</w:t>
      </w:r>
    </w:p>
    <w:p>
      <w:r>
        <w:rPr>
          <w:b/>
        </w:rPr>
        <w:t xml:space="preserve">Authors: </w:t>
      </w:r>
      <w:r>
        <w:t>Michael Korenjak, Nuri Alpay Temiz, Stéphane Keita, Bérénice Chavanel, Claire Renard, Cécilia Sirand, Vincent Cahais, Tanguy Mayel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主题二：生物学实验与机制验证</w:t>
      </w:r>
    </w:p>
    <w:p>
      <w:r>
        <w:rPr>
          <w:b/>
        </w:rPr>
        <w:t xml:space="preserve">Core methods: </w:t>
      </w:r>
      <w:r>
        <w:t>PubMed 摘要中未能自动识别明确方法；需阅读全文确认。</w:t>
      </w:r>
    </w:p>
    <w:p>
      <w:r>
        <w:rPr>
          <w:b/>
        </w:rPr>
        <w:t xml:space="preserve">Main findings: </w:t>
      </w:r>
      <w:r>
        <w:t>BACKGROUND: Tobacco use is linked to multiple cancer types and a quarter of cancer deaths.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https://pubmed.ncbi.nlm.nih.gov/42393796/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Integrated bioinformatic multi-omics analysis and experimental verification reveal the oncogenic role of WDHD1 and its underlying mechanism in gastric cancer progression.</w:t>
      </w:r>
    </w:p>
    <w:p>
      <w:r>
        <w:rPr>
          <w:b/>
        </w:rPr>
        <w:t xml:space="preserve">Journal: </w:t>
      </w:r>
      <w:r>
        <w:t>BMC cancer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42393565</w:t>
      </w:r>
    </w:p>
    <w:p>
      <w:r>
        <w:rPr>
          <w:b/>
        </w:rPr>
        <w:t xml:space="preserve">DOI: </w:t>
      </w:r>
      <w:r>
        <w:t>10.1186/s12885-026-16401-8</w:t>
      </w:r>
    </w:p>
    <w:p>
      <w:r>
        <w:rPr>
          <w:b/>
        </w:rPr>
        <w:t xml:space="preserve">Authors: </w:t>
      </w:r>
      <w:r>
        <w:t>Xunkang Wang, Jiahui Yu, Zhenyu Sun, Yi Sun, Kun Li, Kaihan Meng, Junnan Kong, Gan Li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机制实验与功能验证研究</w:t>
      </w:r>
    </w:p>
    <w:p>
      <w:r>
        <w:rPr>
          <w:b/>
        </w:rPr>
        <w:t xml:space="preserve">Core methods: </w:t>
      </w:r>
      <w:r>
        <w:t>single-cell/spatial profiling；functional/mechanistic validation；multi-omics or molecular association analysis</w:t>
      </w:r>
    </w:p>
    <w:p>
      <w:r>
        <w:rPr>
          <w:b/>
        </w:rPr>
        <w:t xml:space="preserve">Main findings: </w:t>
      </w:r>
      <w:r>
        <w:t>BACKGROUND: Gastric cancer (GC) is one of the most common malignancies worldwide.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可为 ccRCC 影像/病理/组学融合建模提供方法参照。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https://pubmed.ncbi.nlm.nih.gov/42393565/</w:t>
      </w:r>
    </w:p>
    <w:p>
      <w:pPr>
        <w:pStyle w:val="Heading2"/>
      </w:pPr>
      <w:r>
        <w:t>方向三：乳酸化、肿瘤代谢与表观遗传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Histone lactylation-driven IGF2BP3 promotes intrahepatic cholangiocarcinoma progression via SPP1/CD44-dependent macrophage polarization.</w:t>
      </w:r>
    </w:p>
    <w:p>
      <w:r>
        <w:rPr>
          <w:b/>
        </w:rPr>
        <w:t xml:space="preserve">Journal: </w:t>
      </w:r>
      <w:r>
        <w:t>Oncogene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42393287</w:t>
      </w:r>
    </w:p>
    <w:p>
      <w:r>
        <w:rPr>
          <w:b/>
        </w:rPr>
        <w:t xml:space="preserve">DOI: </w:t>
      </w:r>
      <w:r>
        <w:t>10.1038/s41388-026-03874-x</w:t>
      </w:r>
    </w:p>
    <w:p>
      <w:r>
        <w:rPr>
          <w:b/>
        </w:rPr>
        <w:t xml:space="preserve">Authors: </w:t>
      </w:r>
      <w:r>
        <w:t>Qingfu Lang, Zhijie Yin, Jia Sun, Yinfan Wang, Boxin Chen, Chen Jia, Zhen Cui, Ze Wang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机制实验与功能验证研究</w:t>
      </w:r>
    </w:p>
    <w:p>
      <w:r>
        <w:rPr>
          <w:b/>
        </w:rPr>
        <w:t xml:space="preserve">Core methods: </w:t>
      </w:r>
      <w:r>
        <w:t>single-cell/spatial profiling；functional/mechanistic validation；metabolism/epigenetic analysis</w:t>
      </w:r>
    </w:p>
    <w:p>
      <w:r>
        <w:rPr>
          <w:b/>
        </w:rPr>
        <w:t xml:space="preserve">Main findings: </w:t>
      </w:r>
      <w:r>
        <w:t>The tumor microenvironment is a critical regulator of cancer progression.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可迁移到乳酸代谢、ALDOA-K230 乳酸化或 SIRT7 调控轴的机制假设。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https://pubmed.ncbi.nlm.nih.gov/42393287/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Periodontitis-Aggravated Diabetic Kidney Disease with Altered Glycolysis.</w:t>
      </w:r>
    </w:p>
    <w:p>
      <w:r>
        <w:rPr>
          <w:b/>
        </w:rPr>
        <w:t xml:space="preserve">Journal: </w:t>
      </w:r>
      <w:r>
        <w:t>Journal of dental research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42396852</w:t>
      </w:r>
    </w:p>
    <w:p>
      <w:r>
        <w:rPr>
          <w:b/>
        </w:rPr>
        <w:t xml:space="preserve">DOI: </w:t>
      </w:r>
      <w:r>
        <w:t>10.1177/00220345261455840</w:t>
      </w:r>
    </w:p>
    <w:p>
      <w:r>
        <w:rPr>
          <w:b/>
        </w:rPr>
        <w:t xml:space="preserve">Authors: </w:t>
      </w:r>
      <w:r>
        <w:t>Y Shi, X Zhu, J Li, Y Liu, C Li, Y Yang, X He, H Liu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主题三：乳酸化、肿瘤代谢与表观遗传</w:t>
      </w:r>
    </w:p>
    <w:p>
      <w:r>
        <w:rPr>
          <w:b/>
        </w:rPr>
        <w:t xml:space="preserve">Core methods: </w:t>
      </w:r>
      <w:r>
        <w:t>AI/pathology/imaging modeling；metabolism/epigenetic analysis</w:t>
      </w:r>
    </w:p>
    <w:p>
      <w:r>
        <w:rPr>
          <w:b/>
        </w:rPr>
        <w:t xml:space="preserve">Main findings: </w:t>
      </w:r>
      <w:r>
        <w:t>Diabetic kidney disease (DKD) is a leading cause of end-stage renal disease, and its progression is influenced by metabolic and inflammatory factors beyond hyperglycemia.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将其特征工程或模型验证框架迁移到医院队列 CT/MRI/WSI 与转录组联合分析。</w:t>
      </w:r>
    </w:p>
    <w:p>
      <w:r>
        <w:rPr>
          <w:b/>
        </w:rPr>
        <w:t xml:space="preserve">PubMed link: </w:t>
      </w:r>
      <w:r>
        <w:t>https://pubmed.ncbi.nlm.nih.gov/42396852/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LEF1 and niche factors determine T cell stemness across chronic diseases.</w:t>
      </w:r>
    </w:p>
    <w:p>
      <w:r>
        <w:rPr>
          <w:b/>
        </w:rPr>
        <w:t xml:space="preserve">Journal: </w:t>
      </w:r>
      <w:r>
        <w:t>Cell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01; PubMed indexed date: 2026-07-02</w:t>
      </w:r>
    </w:p>
    <w:p>
      <w:r>
        <w:rPr>
          <w:b/>
        </w:rPr>
        <w:t xml:space="preserve">PMID: </w:t>
      </w:r>
      <w:r>
        <w:t>42385703</w:t>
      </w:r>
    </w:p>
    <w:p>
      <w:r>
        <w:rPr>
          <w:b/>
        </w:rPr>
        <w:t xml:space="preserve">DOI: </w:t>
      </w:r>
      <w:r>
        <w:t>10.1016/j.cell.2026.06.022</w:t>
      </w:r>
    </w:p>
    <w:p>
      <w:r>
        <w:rPr>
          <w:b/>
        </w:rPr>
        <w:t xml:space="preserve">Authors: </w:t>
      </w:r>
      <w:r>
        <w:t>Svetlana Miakicheva, Katrina M Hawley, Paul Zumbo, Sofia V Gearty, Simon Grassmann, Brianna Naizir, Edison Chiu, Sandra Carson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profiling；metabolism/epigenetic analysis</w:t>
      </w:r>
    </w:p>
    <w:p>
      <w:r>
        <w:rPr>
          <w:b/>
        </w:rPr>
        <w:t xml:space="preserve">Main findings: </w:t>
      </w:r>
      <w:r>
        <w:t>In settings of persistent (self or foreign) antigen, such as autoimmunity and chronic infection, immune responses are sustained by stem-like T cells.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https://pubmed.ncbi.nlm.nih.gov/42385703/</w:t>
      </w:r>
    </w:p>
    <w:p>
      <w:pPr>
        <w:pStyle w:val="Heading2"/>
      </w:pPr>
      <w:r>
        <w:t>方向四：病理组学、影像组学、AI 与多模态建模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The application of artificial intelligence in adrenal imaging: current state of knowledge, challenges, and future directions.</w:t>
      </w:r>
    </w:p>
    <w:p>
      <w:r>
        <w:rPr>
          <w:b/>
        </w:rPr>
        <w:t xml:space="preserve">Journal: </w:t>
      </w:r>
      <w:r>
        <w:t>Endocrine connections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42396958</w:t>
      </w:r>
    </w:p>
    <w:p>
      <w:r>
        <w:rPr>
          <w:b/>
        </w:rPr>
        <w:t xml:space="preserve">DOI: </w:t>
      </w:r>
      <w:r>
        <w:t>10.1530/EC-26-0267</w:t>
      </w:r>
    </w:p>
    <w:p>
      <w:r>
        <w:rPr>
          <w:b/>
        </w:rPr>
        <w:t xml:space="preserve">Authors: </w:t>
      </w:r>
      <w:r>
        <w:t>Mateusz Mucha, Zuzanna Roszkowska, Urszula Ambroziak, Małgorzata Bobrowicz, Radosław Roszczyk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AI/pathology/imaging modeling</w:t>
      </w:r>
    </w:p>
    <w:p>
      <w:r>
        <w:rPr>
          <w:b/>
        </w:rPr>
        <w:t xml:space="preserve">Main findings: </w:t>
      </w:r>
      <w:r>
        <w:t>Adrenal incidentalomas are frequently detected on abdominal imaging and require evaluation for malignancy and hormonal activity.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https://pubmed.ncbi.nlm.nih.gov/42396958/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Structural-functional network decoupling in early stage amyotrophic lateral sclerosis reveals cell-type specific transcriptional signatures.</w:t>
      </w:r>
    </w:p>
    <w:p>
      <w:r>
        <w:rPr>
          <w:b/>
        </w:rPr>
        <w:t xml:space="preserve">Journal: </w:t>
      </w:r>
      <w:r>
        <w:t>BMC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42393685</w:t>
      </w:r>
    </w:p>
    <w:p>
      <w:r>
        <w:rPr>
          <w:b/>
        </w:rPr>
        <w:t xml:space="preserve">DOI: </w:t>
      </w:r>
      <w:r>
        <w:t>10.1186/s12916-026-04932-7</w:t>
      </w:r>
    </w:p>
    <w:p>
      <w:r>
        <w:rPr>
          <w:b/>
        </w:rPr>
        <w:t xml:space="preserve">Authors: </w:t>
      </w:r>
      <w:r>
        <w:t>Jixin Luan, Yan Yun, Yichang Jiao, Yao Wang, Mingjie Ma, Didi Shan, Hongxu Wang, Xinbo Ji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profiling；AI/pathology/imaging modeling</w:t>
      </w:r>
    </w:p>
    <w:p>
      <w:r>
        <w:rPr>
          <w:b/>
        </w:rPr>
        <w:t xml:space="preserve">Main findings: </w:t>
      </w:r>
      <w:r>
        <w:t>BACKGROUND: Amyotrophic lateral sclerosis (ALS) involves widespread brain network dysfunction, yet the molecular mechanisms linked to these alterations remain poorly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可为 ccRCC 影像/病理/组学融合建模提供方法参照。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https://pubmed.ncbi.nlm.nih.gov/42393685/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Integrating social determinants of health and genetic risk in disease risk models.</w:t>
      </w:r>
    </w:p>
    <w:p>
      <w:r>
        <w:rPr>
          <w:b/>
        </w:rPr>
        <w:t xml:space="preserve">Journal: </w:t>
      </w:r>
      <w:r>
        <w:t>American journal of human genetics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2026-06-22</w:t>
      </w:r>
    </w:p>
    <w:p>
      <w:r>
        <w:rPr>
          <w:b/>
        </w:rPr>
        <w:t xml:space="preserve">PMID: </w:t>
      </w:r>
      <w:r>
        <w:t>42330952</w:t>
      </w:r>
    </w:p>
    <w:p>
      <w:r>
        <w:rPr>
          <w:b/>
        </w:rPr>
        <w:t xml:space="preserve">DOI: </w:t>
      </w:r>
      <w:r>
        <w:t>10.1016/j.ajhg.2026.05.014</w:t>
      </w:r>
    </w:p>
    <w:p>
      <w:r>
        <w:rPr>
          <w:b/>
        </w:rPr>
        <w:t xml:space="preserve">Authors: </w:t>
      </w:r>
      <w:r>
        <w:t>Abhijith Biji, Kathleen Ferar, Vikas Pejaver, Eimear E Kenny, Bian Liu, Samira Asgari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主题四：病理组学、影像组学、AI 与多模态建模</w:t>
      </w:r>
    </w:p>
    <w:p>
      <w:r>
        <w:rPr>
          <w:b/>
        </w:rPr>
        <w:t xml:space="preserve">Core methods: </w:t>
      </w:r>
      <w:r>
        <w:t>PubMed 摘要中未能自动识别明确方法；需阅读全文确认。</w:t>
      </w:r>
    </w:p>
    <w:p>
      <w:r>
        <w:rPr>
          <w:b/>
        </w:rPr>
        <w:t xml:space="preserve">Main findings: </w:t>
      </w:r>
      <w:r>
        <w:t>Complex diseases are shaped by heritable factors and non-genetic environmental, behavioral, and social determinants of health, but these are rarely modeled together.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https://pubmed.ncbi.nlm.nih.gov/42330952/</w:t>
      </w:r>
    </w:p>
    <w:p>
      <w:pPr>
        <w:pStyle w:val="Heading2"/>
      </w:pPr>
      <w:r>
        <w:t>方向五：UK Biobank、MR、多组学队列与流行病学数据库挖掘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Genome-wide association study and predictors of neonatal blood cell traits in Hispanic newborns.</w:t>
      </w:r>
    </w:p>
    <w:p>
      <w:r>
        <w:rPr>
          <w:b/>
        </w:rPr>
        <w:t xml:space="preserve">Journal: </w:t>
      </w:r>
      <w:r>
        <w:t>American journal of human genetics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01; PubMed indexed date: 2026-07-02</w:t>
      </w:r>
    </w:p>
    <w:p>
      <w:r>
        <w:rPr>
          <w:b/>
        </w:rPr>
        <w:t xml:space="preserve">PMID: </w:t>
      </w:r>
      <w:r>
        <w:t>42385717</w:t>
      </w:r>
    </w:p>
    <w:p>
      <w:r>
        <w:rPr>
          <w:b/>
        </w:rPr>
        <w:t xml:space="preserve">DOI: </w:t>
      </w:r>
      <w:r>
        <w:t>10.1016/j.ajhg.2026.06.008</w:t>
      </w:r>
    </w:p>
    <w:p>
      <w:r>
        <w:rPr>
          <w:b/>
        </w:rPr>
        <w:t xml:space="preserve">Authors: </w:t>
      </w:r>
      <w:r>
        <w:t>Yunqi Li, Benjamin Alonzo, Zixuan E Zhang, Jalen Langie, Swe Swe Myint, Michaela Ince, Rong Lu, Charleston W K Chiang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profiling；multi-omics or molecular association analysis</w:t>
      </w:r>
    </w:p>
    <w:p>
      <w:r>
        <w:rPr>
          <w:b/>
        </w:rPr>
        <w:t xml:space="preserve">Main findings: </w:t>
      </w:r>
      <w:r>
        <w:t>The role of heritable genetic variation in hematologic traits in adults is well established, yet the genetic architecture of neonatal blood cell traits is unknown.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https://pubmed.ncbi.nlm.nih.gov/42385717/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Metabolomic and Proteomic Signatures of Cardiorespiratory Fitness for Predicting All-Cause Mortality and Non-Communicable Disease Risk: A Prospective Study in the UK Biobank.</w:t>
      </w:r>
    </w:p>
    <w:p>
      <w:r>
        <w:rPr>
          <w:b/>
        </w:rPr>
        <w:t xml:space="preserve">Journal: </w:t>
      </w:r>
      <w:r>
        <w:t>Circulation. Genomic and precision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42394615</w:t>
      </w:r>
    </w:p>
    <w:p>
      <w:r>
        <w:rPr>
          <w:b/>
        </w:rPr>
        <w:t xml:space="preserve">DOI: </w:t>
      </w:r>
      <w:r>
        <w:t>10.1161/CIRCGEN.125.005736</w:t>
      </w:r>
    </w:p>
    <w:p>
      <w:r>
        <w:rPr>
          <w:b/>
        </w:rPr>
        <w:t xml:space="preserve">Authors: </w:t>
      </w:r>
      <w:r>
        <w:t>Sergio Miras-Moreno, Álvaro Torres-Martos, Jonatan R Ruiz, Jennifer Carter, Carolina Abreu de Carvalho, Concepción M Aguilera, Carmen Piernas, Borja Martinez-Tellez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multi-omics or molecular association analysis；metabolism/epigenetic analysis</w:t>
      </w:r>
    </w:p>
    <w:p>
      <w:r>
        <w:rPr>
          <w:b/>
        </w:rPr>
        <w:t xml:space="preserve">Main findings: </w:t>
      </w:r>
      <w:r>
        <w:t>BACKGROUND: Cardiorespiratory fitness (CRF) is a strong predictor of mortality and noncommunicable disease risk, but its underlying molecular mechanisms are poorly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可迁移到乳酸代谢、ALDOA-K230 乳酸化或 SIRT7 调控轴的机制假设。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https://pubmed.ncbi.nlm.nih.gov/42394615/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Accelerometry-measured prolonged and interrupted sedentary behavior and cancer incidence and mortality: A cohort study of 91,292 UK Biobank participants.</w:t>
      </w:r>
    </w:p>
    <w:p>
      <w:r>
        <w:rPr>
          <w:b/>
        </w:rPr>
        <w:t xml:space="preserve">Journal: </w:t>
      </w:r>
      <w:r>
        <w:t>PLoS medicine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Jul; PubMed indexed date: 2026-07-02</w:t>
      </w:r>
    </w:p>
    <w:p>
      <w:r>
        <w:rPr>
          <w:b/>
        </w:rPr>
        <w:t xml:space="preserve">PMID: </w:t>
      </w:r>
      <w:r>
        <w:t>42391119</w:t>
      </w:r>
    </w:p>
    <w:p>
      <w:r>
        <w:rPr>
          <w:b/>
        </w:rPr>
        <w:t xml:space="preserve">DOI: </w:t>
      </w:r>
      <w:r>
        <w:t>10.1371/journal.pmed.1004767</w:t>
      </w:r>
    </w:p>
    <w:p>
      <w:r>
        <w:rPr>
          <w:b/>
        </w:rPr>
        <w:t xml:space="preserve">Authors: </w:t>
      </w:r>
      <w:r>
        <w:t>Ziyi Zhou, Stewart G Trost, Gemma C Ryde, Solange Parra-Soto, Zhe Fang, Chao Xu, Yujia Lu, Kai Wang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PubMed 摘要中未能自动识别明确方法；需阅读全文确认。</w:t>
      </w:r>
    </w:p>
    <w:p>
      <w:r>
        <w:rPr>
          <w:b/>
        </w:rPr>
        <w:t xml:space="preserve">Main findings: </w:t>
      </w:r>
      <w:r>
        <w:t>BACKGROUND: Current sedentary behavior (SB) guidelines primarily emphasize total time spent sedentary.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https://pubmed.ncbi.nlm.nih.gov/42391119/</w:t>
      </w:r>
    </w:p>
    <w:p>
      <w:pPr>
        <w:pStyle w:val="Heading1"/>
      </w:pPr>
      <w:r>
        <w:t>3. 今日可迁移到肾癌研究的创新方法</w:t>
      </w:r>
    </w:p>
    <w:p>
      <w:pPr>
        <w:pStyle w:val="ListBullet"/>
      </w:pPr>
      <w:r>
        <w:t>single-cell/spatial profiling；functional/mechanistic validation</w:t>
      </w:r>
    </w:p>
    <w:p>
      <w:pPr>
        <w:pStyle w:val="ListBullet"/>
      </w:pPr>
      <w:r>
        <w:t>single-cell/spatial profiling；functional/mechanistic validation</w:t>
      </w:r>
    </w:p>
    <w:p>
      <w:pPr>
        <w:pStyle w:val="ListBullet"/>
      </w:pPr>
      <w:r>
        <w:t>single-cell/spatial profiling</w:t>
      </w:r>
    </w:p>
    <w:p>
      <w:pPr>
        <w:pStyle w:val="ListBullet"/>
      </w:pPr>
      <w:r>
        <w:t>single-cell/spatial profiling</w:t>
      </w:r>
    </w:p>
    <w:p>
      <w:pPr>
        <w:pStyle w:val="ListBullet"/>
      </w:pPr>
      <w:r>
        <w:t>PubMed 摘要中未能自动识别明确方法；需阅读全文确认。</w:t>
      </w:r>
    </w:p>
    <w:p>
      <w:pPr>
        <w:pStyle w:val="ListBullet"/>
      </w:pPr>
      <w:r>
        <w:t>single-cell/spatial profiling；functional/mechanistic validation；multi-omics or molecular association analysis</w:t>
      </w:r>
    </w:p>
    <w:p>
      <w:pPr>
        <w:pStyle w:val="ListBullet"/>
      </w:pPr>
      <w:r>
        <w:t>single-cell/spatial profiling；functional/mechanistic validation；metabolism/epigenetic analysis</w:t>
      </w:r>
    </w:p>
    <w:p>
      <w:pPr>
        <w:pStyle w:val="ListBullet"/>
      </w:pPr>
      <w:r>
        <w:t>AI/pathology/imaging modeling；metabolism/epigenetic analysis</w:t>
      </w:r>
    </w:p>
    <w:p>
      <w:pPr>
        <w:pStyle w:val="Heading1"/>
      </w:pPr>
      <w:r>
        <w:t>4. 对用户当前课题的具体启发</w:t>
      </w:r>
    </w:p>
    <w:p>
      <w:pPr>
        <w:pStyle w:val="ListBullet"/>
      </w:pPr>
      <w:r>
        <w:t>ccRCC 风险预测：优先记录可迁移的暴露定义、结局窗口、验证策略和校准/决策曲线分析。</w:t>
      </w:r>
    </w:p>
    <w:p>
      <w:pPr>
        <w:pStyle w:val="ListBullet"/>
      </w:pPr>
      <w:r>
        <w:t>乳酸化与 ALDOA-K230：追踪乳酸代谢、Kla、糖酵解和蛋白翻译后修饰文献，建立 TCGA/CPTAC 到湿实验的证据链。</w:t>
      </w:r>
    </w:p>
    <w:p>
      <w:pPr>
        <w:pStyle w:val="ListBullet"/>
      </w:pPr>
      <w:r>
        <w:t>SIRT7 介导调控：关注去乙酰化/去乳酸化、核糖体生物发生、代谢重编程和免疫微环境之间的连接。</w:t>
      </w:r>
    </w:p>
    <w:p>
      <w:pPr>
        <w:pStyle w:val="ListBullet"/>
      </w:pPr>
      <w:r>
        <w:t>UKB 蛋白组/代谢组：将候选蛋白、代谢物和暴露映射到 UKB/Olink/Nightingale 字段，设计发现-验证-因果推断框架。</w:t>
      </w:r>
    </w:p>
    <w:p>
      <w:pPr>
        <w:pStyle w:val="ListBullet"/>
      </w:pPr>
      <w:r>
        <w:t>微塑料、超加工食品、包装相关暴露、EDCs 与噪声：将环境暴露文献转化为 UKB 暴露变量、替代指标或 MR 工具变量清单。</w:t>
      </w:r>
    </w:p>
    <w:p>
      <w:pPr>
        <w:pStyle w:val="ListBullet"/>
      </w:pPr>
      <w:r>
        <w:t>数字病理与影像组学：把模型输入、特征融合、外部验证和可解释性图形迁移到医院 CT/MRI/WSI 队列。</w:t>
      </w:r>
    </w:p>
    <w:p>
      <w:pPr>
        <w:pStyle w:val="ListBullet"/>
      </w:pPr>
      <w:r>
        <w:t>单细胞和空间验证：将候选通路定位到细胞类型、空间邻域、免疫浸润和代谢生态位。</w:t>
      </w:r>
    </w:p>
    <w:p>
      <w:pPr>
        <w:pStyle w:val="ListBullet"/>
      </w:pPr>
      <w:r>
        <w:t>医院队列验证：为每篇可迁移论文记录需要补充的临床变量、样本类型、实验材料和伦理数据条件。</w:t>
      </w:r>
    </w:p>
    <w:p>
      <w:pPr>
        <w:pStyle w:val="Heading1"/>
      </w:pPr>
      <w:r>
        <w:t>5. 明日或后续可执行任务</w:t>
      </w:r>
    </w:p>
    <w:p>
      <w:pPr>
        <w:pStyle w:val="ListBullet"/>
      </w:pPr>
      <w:r>
        <w:t>PubMed 持续追踪关键词：ccRCC lactylation、renal cell carcinoma spatial transcriptomics、kidney cancer radiopathomics。</w:t>
      </w:r>
    </w:p>
    <w:p>
      <w:pPr>
        <w:pStyle w:val="ListBullet"/>
      </w:pPr>
      <w:r>
        <w:t>Python/R 分析：建立 PMID-关键词-方向-候选课题的 CSV 索引，累计 30 天后做热点词共现网络。</w:t>
      </w:r>
    </w:p>
    <w:p>
      <w:pPr>
        <w:pStyle w:val="ListBullet"/>
      </w:pPr>
      <w:r>
        <w:t>UKB 检查：整理肾癌 ICD-10/ICD-O 结局、Olink 蛋白、Nightingale 代谢物、饮食和环境暴露变量。</w:t>
      </w:r>
    </w:p>
    <w:p>
      <w:pPr>
        <w:pStyle w:val="ListBullet"/>
      </w:pPr>
      <w:r>
        <w:t>TCGA/CPTAC 验证：检验 ALDOA、SIRT7、LDHA、SLC16A1/MCT1、SLC16A3/MCT4 与预后、免疫浸润和代谢通路的关系。</w:t>
      </w:r>
    </w:p>
    <w:p>
      <w:pPr>
        <w:pStyle w:val="ListBullet"/>
      </w:pPr>
      <w:r>
        <w:t>scRNA-seq 验证：在公开 ccRCC 单细胞数据中定位 ALDOA/SIRT7 高表达细胞群及其乳酸代谢邻近信号。</w:t>
      </w:r>
    </w:p>
    <w:p>
      <w:pPr>
        <w:pStyle w:val="ListBullet"/>
      </w:pPr>
      <w:r>
        <w:t>空间转录组：设计肿瘤-免疫-血管空间邻域图，验证糖酵解/乳酸通路的区域富集。</w:t>
      </w:r>
    </w:p>
    <w:p>
      <w:pPr>
        <w:pStyle w:val="ListBullet"/>
      </w:pPr>
      <w:r>
        <w:t>医院队列实验：为候选机制准备 IHC/IF、Western blot、qPCR、乳酸检测、Kla 抗体检测和功能实验清单。</w:t>
      </w:r>
    </w:p>
    <w:p>
      <w:pPr>
        <w:pStyle w:val="ListBullet"/>
      </w:pPr>
      <w:r>
        <w:t>图形想法：制作“暴露-多组学-影像病理-机制验证-外部队列”的 ccRCC 转化研究路线图。</w:t>
      </w:r>
    </w:p>
    <w:p>
      <w:pPr>
        <w:pStyle w:val="ListBullet"/>
      </w:pPr>
      <w:r>
        <w:t>论文/基金想法：以环境暴露和代谢重编程为入口，串联 UKB 发现、MR 因果推断、CPTAC 验证和医院队列实验。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PubMed Cancer Research Daily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PubMed Cancer Research Daily Brief</dc:title>
  <dc:subject>Daily PubMed cancer research literature brief</dc:subject>
  <dc:creator>PubMed Cancer Brief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