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EA475" w14:textId="77777777" w:rsidR="00144FC5" w:rsidRDefault="00144FC5" w:rsidP="00144FC5">
      <w:pPr>
        <w:pStyle w:val="Heading2"/>
        <w:shd w:val="clear" w:color="auto" w:fill="FFFFFF"/>
        <w:spacing w:line="570" w:lineRule="atLeast"/>
        <w:rPr>
          <w:rFonts w:ascii="Open Sans" w:hAnsi="Open Sans" w:cs="Open Sans"/>
          <w:b w:val="0"/>
          <w:bCs w:val="0"/>
          <w:color w:val="212529"/>
          <w:sz w:val="36"/>
        </w:rPr>
      </w:pPr>
      <w:r>
        <w:rPr>
          <w:rFonts w:ascii="Open Sans" w:hAnsi="Open Sans"/>
          <w:b w:val="0"/>
          <w:color w:val="212529"/>
        </w:rPr>
        <w:t>Product Liability: Medical Device Manufacturers Pay Attention!</w:t>
      </w:r>
    </w:p>
    <w:p w14:paraId="74080015"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Neither the MPG nor the MDR contain regulations on </w:t>
      </w:r>
      <w:r>
        <w:rPr>
          <w:rStyle w:val="Strong"/>
          <w:rFonts w:ascii="Open Sans" w:hAnsi="Open Sans"/>
          <w:color w:val="212529"/>
          <w:sz w:val="23"/>
        </w:rPr>
        <w:t>product liability</w:t>
      </w:r>
      <w:r>
        <w:rPr>
          <w:rFonts w:ascii="Open Sans" w:hAnsi="Open Sans"/>
          <w:color w:val="212529"/>
          <w:sz w:val="23"/>
        </w:rPr>
        <w:t>, i.e., manufacturers’ liability for harm caused by defective devices.</w:t>
      </w:r>
    </w:p>
    <w:p w14:paraId="71F80ED3"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However, manufacturers should be aware that a lot of legal regulations entitle injured persons to claim compensation if a defective medical device causes harm to a patient, user, or third party. Liability may result, for example, from:</w:t>
      </w:r>
    </w:p>
    <w:p w14:paraId="545DB5C1" w14:textId="77777777" w:rsidR="00144FC5" w:rsidRDefault="00144FC5" w:rsidP="00144FC5">
      <w:pPr>
        <w:numPr>
          <w:ilvl w:val="0"/>
          <w:numId w:val="11"/>
        </w:numPr>
        <w:shd w:val="clear" w:color="auto" w:fill="FFFFFF"/>
        <w:spacing w:before="225" w:after="100" w:afterAutospacing="1" w:line="338" w:lineRule="atLeast"/>
        <w:rPr>
          <w:rFonts w:ascii="Open Sans" w:hAnsi="Open Sans" w:cs="Open Sans"/>
          <w:color w:val="212529"/>
          <w:sz w:val="24"/>
        </w:rPr>
      </w:pPr>
      <w:r>
        <w:rPr>
          <w:rStyle w:val="Strong"/>
          <w:rFonts w:ascii="Open Sans" w:hAnsi="Open Sans"/>
          <w:color w:val="212529"/>
        </w:rPr>
        <w:t>Tort law</w:t>
      </w:r>
      <w:r>
        <w:rPr>
          <w:rFonts w:ascii="Open Sans" w:hAnsi="Open Sans"/>
          <w:color w:val="212529"/>
        </w:rPr>
        <w:t> (Section 823(1) and (2) BGB)</w:t>
      </w:r>
    </w:p>
    <w:p w14:paraId="2A1285C1" w14:textId="77777777" w:rsidR="00144FC5" w:rsidRDefault="00144FC5" w:rsidP="00144FC5">
      <w:pPr>
        <w:numPr>
          <w:ilvl w:val="0"/>
          <w:numId w:val="11"/>
        </w:numPr>
        <w:shd w:val="clear" w:color="auto" w:fill="FFFFFF"/>
        <w:spacing w:before="225" w:after="100" w:afterAutospacing="1" w:line="338" w:lineRule="atLeast"/>
        <w:rPr>
          <w:rFonts w:ascii="Open Sans" w:hAnsi="Open Sans" w:cs="Open Sans"/>
          <w:color w:val="212529"/>
        </w:rPr>
      </w:pPr>
      <w:r>
        <w:rPr>
          <w:rStyle w:val="Strong"/>
          <w:rFonts w:ascii="Open Sans" w:hAnsi="Open Sans"/>
          <w:color w:val="212529"/>
        </w:rPr>
        <w:t>Produkthaftungsgesetz</w:t>
      </w:r>
      <w:r>
        <w:rPr>
          <w:rFonts w:ascii="Open Sans" w:hAnsi="Open Sans"/>
          <w:color w:val="212529"/>
        </w:rPr>
        <w:t> (ProdHaftG)</w:t>
      </w:r>
    </w:p>
    <w:p w14:paraId="23A21262" w14:textId="77777777" w:rsidR="00144FC5" w:rsidRDefault="00144FC5" w:rsidP="00144FC5">
      <w:pPr>
        <w:numPr>
          <w:ilvl w:val="0"/>
          <w:numId w:val="11"/>
        </w:numPr>
        <w:shd w:val="clear" w:color="auto" w:fill="FFFFFF"/>
        <w:spacing w:before="225" w:after="100" w:afterAutospacing="1" w:line="338" w:lineRule="atLeast"/>
        <w:rPr>
          <w:rFonts w:ascii="Open Sans" w:hAnsi="Open Sans" w:cs="Open Sans"/>
          <w:color w:val="212529"/>
        </w:rPr>
      </w:pPr>
      <w:r>
        <w:rPr>
          <w:rStyle w:val="Strong"/>
          <w:rFonts w:ascii="Open Sans" w:hAnsi="Open Sans"/>
          <w:color w:val="212529"/>
        </w:rPr>
        <w:t>Damages for breach of duty</w:t>
      </w:r>
      <w:r>
        <w:rPr>
          <w:rFonts w:ascii="Open Sans" w:hAnsi="Open Sans"/>
          <w:color w:val="212529"/>
        </w:rPr>
        <w:t> (e.g., Section 280 BGB together with the contract)</w:t>
      </w:r>
    </w:p>
    <w:p w14:paraId="1BA8083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Product liability, which protects consumers (e.g., patients) in the event of product damage, is particularly relevant in practice. This article addresses </w:t>
      </w:r>
      <w:r>
        <w:rPr>
          <w:rStyle w:val="Strong"/>
          <w:rFonts w:ascii="Open Sans" w:hAnsi="Open Sans"/>
          <w:color w:val="212529"/>
          <w:sz w:val="23"/>
        </w:rPr>
        <w:t>product liability according to the Produkthaftungsgesetz</w:t>
      </w:r>
      <w:r>
        <w:rPr>
          <w:rFonts w:ascii="Open Sans" w:hAnsi="Open Sans"/>
          <w:color w:val="212529"/>
          <w:sz w:val="23"/>
        </w:rPr>
        <w:t>.</w:t>
      </w:r>
    </w:p>
    <w:p w14:paraId="184F7B20"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1. Product liability: who is liable for what?</w:t>
      </w:r>
    </w:p>
    <w:p w14:paraId="3C3331FF"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Who is actually liable in the first place?</w:t>
      </w:r>
    </w:p>
    <w:p w14:paraId="1311E665"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Produkthaftungsgesetz primarily regulates the liability of </w:t>
      </w:r>
      <w:r>
        <w:rPr>
          <w:rStyle w:val="Strong"/>
          <w:rFonts w:ascii="Open Sans" w:hAnsi="Open Sans"/>
          <w:color w:val="212529"/>
          <w:sz w:val="23"/>
        </w:rPr>
        <w:t>manufacturers</w:t>
      </w:r>
      <w:r>
        <w:rPr>
          <w:rFonts w:ascii="Open Sans" w:hAnsi="Open Sans"/>
          <w:color w:val="212529"/>
          <w:sz w:val="23"/>
        </w:rPr>
        <w:t>. This includes both the actual manufacturer as well as the legal manufacturer (known as the “quasi-manufacturer”).</w:t>
      </w:r>
    </w:p>
    <w:p w14:paraId="30C0739B"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w:t>
      </w:r>
      <w:r>
        <w:rPr>
          <w:rStyle w:val="Strong"/>
          <w:rFonts w:ascii="Open Sans" w:hAnsi="Open Sans"/>
          <w:color w:val="212529"/>
          <w:sz w:val="23"/>
        </w:rPr>
        <w:t>importer</w:t>
      </w:r>
      <w:r>
        <w:rPr>
          <w:rFonts w:ascii="Open Sans" w:hAnsi="Open Sans"/>
          <w:color w:val="212529"/>
          <w:sz w:val="23"/>
        </w:rPr>
        <w:t xml:space="preserve"> is treated in the same way as a manufacturer if the product is imported for the purpose of sale, hire, leasing or any other form of distribution with an economic purpose (Section 4(2) ProdHaftG).</w:t>
      </w:r>
    </w:p>
    <w:p w14:paraId="621FBCA6"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If a manufacturer’s </w:t>
      </w:r>
      <w:r>
        <w:rPr>
          <w:rStyle w:val="Strong"/>
          <w:rFonts w:ascii="Open Sans" w:hAnsi="Open Sans"/>
          <w:color w:val="212529"/>
          <w:sz w:val="23"/>
        </w:rPr>
        <w:t>EU authorized representative</w:t>
      </w:r>
      <w:r>
        <w:rPr>
          <w:rFonts w:ascii="Open Sans" w:hAnsi="Open Sans"/>
          <w:color w:val="212529"/>
          <w:sz w:val="23"/>
        </w:rPr>
        <w:t xml:space="preserve"> is responsible for one of these tasks, which is generally the case under the MDR, they may also be liable under the Produkthaftungsgesetz since the ProdHaftG permits more than one manufacturer to be liable at the same time (Section 5 ProdHaftG). This means that, in addition to the actual manufacturer, the EU authorized representative can also be sued for damages, making them jointly and severally liable.</w:t>
      </w:r>
    </w:p>
    <w:p w14:paraId="7695271C"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Produkthaftungsgesetz also regulates </w:t>
      </w:r>
      <w:r>
        <w:rPr>
          <w:rStyle w:val="Strong"/>
          <w:rFonts w:ascii="Open Sans" w:hAnsi="Open Sans"/>
          <w:color w:val="212529"/>
          <w:sz w:val="23"/>
        </w:rPr>
        <w:t xml:space="preserve">supplier liability, i.e., the liability of </w:t>
      </w:r>
      <w:hyperlink r:id="rId7" w:tgtFrame="_blank" w:history="1">
        <w:r>
          <w:rPr>
            <w:rStyle w:val="Hyperlink"/>
            <w:rFonts w:ascii="Open Sans" w:hAnsi="Open Sans"/>
            <w:b/>
            <w:sz w:val="23"/>
          </w:rPr>
          <w:t>distributors</w:t>
        </w:r>
      </w:hyperlink>
      <w:r>
        <w:rPr>
          <w:rFonts w:ascii="Open Sans" w:hAnsi="Open Sans"/>
          <w:color w:val="212529"/>
          <w:sz w:val="23"/>
        </w:rPr>
        <w:t xml:space="preserve"> in cases where it not possible to determine who the manufacturer is. The MDR talks about distributors, the Produkthaftungsgesetz about suppliers.</w:t>
      </w:r>
    </w:p>
    <w:p w14:paraId="530A5236"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lastRenderedPageBreak/>
        <w:t>The labeling requirements of the MDR help suppliers/distributors to identify the actual manufacturer.</w:t>
      </w:r>
    </w:p>
    <w:p w14:paraId="4E00B0F7" w14:textId="568B7C6E"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liability claim is usually brought against the legal person, </w:t>
      </w:r>
      <w:r w:rsidR="009730B4">
        <w:rPr>
          <w:rFonts w:ascii="Open Sans" w:hAnsi="Open Sans"/>
          <w:color w:val="212529"/>
          <w:sz w:val="23"/>
        </w:rPr>
        <w:t>i.e.,</w:t>
      </w:r>
      <w:r>
        <w:rPr>
          <w:rFonts w:ascii="Open Sans" w:hAnsi="Open Sans"/>
          <w:color w:val="212529"/>
          <w:sz w:val="23"/>
        </w:rPr>
        <w:t xml:space="preserve"> the company. You can find out when an employee might become </w:t>
      </w:r>
      <w:r w:rsidR="009730B4">
        <w:rPr>
          <w:rFonts w:ascii="Open Sans" w:hAnsi="Open Sans"/>
          <w:color w:val="212529"/>
          <w:sz w:val="23"/>
        </w:rPr>
        <w:t>personally</w:t>
      </w:r>
      <w:r>
        <w:rPr>
          <w:rFonts w:ascii="Open Sans" w:hAnsi="Open Sans"/>
          <w:color w:val="212529"/>
          <w:sz w:val="23"/>
        </w:rPr>
        <w:t xml:space="preserve"> liable in this </w:t>
      </w:r>
      <w:hyperlink r:id="rId8" w:history="1">
        <w:r>
          <w:rPr>
            <w:rStyle w:val="Hyperlink"/>
            <w:rFonts w:ascii="Open Sans" w:hAnsi="Open Sans"/>
            <w:b/>
            <w:sz w:val="23"/>
          </w:rPr>
          <w:t>article on employee liability</w:t>
        </w:r>
      </w:hyperlink>
      <w:r>
        <w:rPr>
          <w:rFonts w:ascii="Open Sans" w:hAnsi="Open Sans"/>
          <w:color w:val="212529"/>
          <w:sz w:val="23"/>
        </w:rPr>
        <w:t>.</w:t>
      </w:r>
    </w:p>
    <w:p w14:paraId="0B91DB49"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b) Which damages can be subject to compensation?</w:t>
      </w:r>
    </w:p>
    <w:p w14:paraId="7596340B"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aim of the Produkthaftungsgesetz is to ensure compensation in the case of </w:t>
      </w:r>
      <w:r>
        <w:rPr>
          <w:rStyle w:val="Strong"/>
          <w:rFonts w:ascii="Open Sans" w:hAnsi="Open Sans"/>
          <w:color w:val="212529"/>
          <w:sz w:val="23"/>
        </w:rPr>
        <w:t>death, physical injury or health damage</w:t>
      </w:r>
      <w:r>
        <w:rPr>
          <w:rFonts w:ascii="Open Sans" w:hAnsi="Open Sans"/>
          <w:color w:val="212529"/>
          <w:sz w:val="23"/>
        </w:rPr>
        <w:t xml:space="preserve"> or of damage to property, provided that an item of property other than the defective product that was used mainly for private use or consumption was damaged.</w:t>
      </w:r>
    </w:p>
    <w:p w14:paraId="1E577080" w14:textId="40316446"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Liability for </w:t>
      </w:r>
      <w:r>
        <w:rPr>
          <w:rStyle w:val="Strong"/>
          <w:rFonts w:ascii="Open Sans" w:hAnsi="Open Sans"/>
          <w:color w:val="212529"/>
          <w:sz w:val="23"/>
        </w:rPr>
        <w:t>side effects</w:t>
      </w:r>
      <w:r>
        <w:rPr>
          <w:rFonts w:ascii="Open Sans" w:hAnsi="Open Sans"/>
          <w:color w:val="212529"/>
          <w:sz w:val="23"/>
        </w:rPr>
        <w:t xml:space="preserve"> is not clearly regulated. Therefore, in liability claims relating to side effects in the case of medical devices in particular, the product's compliance with the regulatory requirements is checked. In this case, the main focus is on the product’s </w:t>
      </w:r>
      <w:hyperlink r:id="rId9" w:tgtFrame="_blank" w:history="1">
        <w:r>
          <w:rPr>
            <w:rStyle w:val="Hyperlink"/>
            <w:rFonts w:ascii="Open Sans" w:hAnsi="Open Sans"/>
            <w:b/>
            <w:sz w:val="23"/>
          </w:rPr>
          <w:t>benefit/risk profile</w:t>
        </w:r>
      </w:hyperlink>
      <w:r>
        <w:rPr>
          <w:rFonts w:ascii="Open Sans" w:hAnsi="Open Sans"/>
          <w:color w:val="212529"/>
          <w:sz w:val="23"/>
        </w:rPr>
        <w:t xml:space="preserve"> and its </w:t>
      </w:r>
      <w:hyperlink r:id="rId10" w:tgtFrame="_blank" w:history="1">
        <w:r>
          <w:rPr>
            <w:rStyle w:val="Hyperlink"/>
            <w:rFonts w:ascii="Open Sans" w:hAnsi="Open Sans"/>
            <w:b/>
            <w:sz w:val="23"/>
          </w:rPr>
          <w:t>instructions for use</w:t>
        </w:r>
      </w:hyperlink>
      <w:r>
        <w:rPr>
          <w:rFonts w:ascii="Open Sans" w:hAnsi="Open Sans"/>
          <w:color w:val="212529"/>
          <w:sz w:val="23"/>
        </w:rPr>
        <w:t xml:space="preserve"> are reviewed by experts.</w:t>
      </w:r>
    </w:p>
    <w:p w14:paraId="1B83A48F"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2. Produkthaftungsgesetz</w:t>
      </w:r>
    </w:p>
    <w:p w14:paraId="244CD56C"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How does the law define a product?</w:t>
      </w:r>
    </w:p>
    <w:p w14:paraId="32A4510C"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Only be a movable thing can be a defective product (Section 2 ProdHaftG). It includes all physical and non-physical products, not just medical devices.</w:t>
      </w:r>
    </w:p>
    <w:p w14:paraId="64C617C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term “product” should not be equated with the term “product” as used in ISO 13485 because this standard uses the term product to refer to services as well as physical objects and software.</w:t>
      </w:r>
    </w:p>
    <w:p w14:paraId="1E8AB550"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How does the law define a defect?</w:t>
      </w:r>
    </w:p>
    <w:p w14:paraId="4A5A823F"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Produkthaftungsgesetz uses the term “defect” in a very broad sense. A defect exists if the product does </w:t>
      </w:r>
      <w:commentRangeStart w:id="0"/>
      <w:r>
        <w:rPr>
          <w:rFonts w:ascii="Open Sans" w:hAnsi="Open Sans"/>
          <w:color w:val="212529"/>
          <w:sz w:val="23"/>
        </w:rPr>
        <w:t xml:space="preserve">not </w:t>
      </w:r>
      <w:commentRangeEnd w:id="0"/>
      <w:r>
        <w:rPr>
          <w:rStyle w:val="CommentReference"/>
        </w:rPr>
        <w:commentReference w:id="0"/>
      </w:r>
      <w:r>
        <w:rPr>
          <w:rFonts w:ascii="Open Sans" w:hAnsi="Open Sans"/>
          <w:color w:val="212529"/>
          <w:sz w:val="23"/>
        </w:rPr>
        <w:t>offer the safety that you would be entitled to expect taking all circumstances into account (Section 3(1) ProdHaftG).</w:t>
      </w:r>
    </w:p>
    <w:p w14:paraId="0D438FF8"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In practice, proving a defect is key for a judicial decision. Recognized defect types include:</w:t>
      </w:r>
    </w:p>
    <w:p w14:paraId="73F6D1D7" w14:textId="77777777" w:rsidR="00144FC5" w:rsidRDefault="00144FC5" w:rsidP="00144FC5">
      <w:pPr>
        <w:numPr>
          <w:ilvl w:val="0"/>
          <w:numId w:val="12"/>
        </w:numPr>
        <w:shd w:val="clear" w:color="auto" w:fill="FFFFFF"/>
        <w:spacing w:before="225" w:after="100" w:afterAutospacing="1" w:line="338" w:lineRule="atLeast"/>
        <w:rPr>
          <w:rFonts w:ascii="Open Sans" w:hAnsi="Open Sans" w:cs="Open Sans"/>
          <w:color w:val="212529"/>
          <w:sz w:val="24"/>
        </w:rPr>
      </w:pPr>
      <w:r>
        <w:rPr>
          <w:rStyle w:val="Strong"/>
          <w:rFonts w:ascii="Open Sans" w:hAnsi="Open Sans"/>
          <w:color w:val="212529"/>
        </w:rPr>
        <w:t>Design defect</w:t>
      </w:r>
      <w:r>
        <w:rPr>
          <w:rFonts w:ascii="Open Sans" w:hAnsi="Open Sans"/>
          <w:color w:val="212529"/>
        </w:rPr>
        <w:t>: The product design does not meet the required safety standard</w:t>
      </w:r>
    </w:p>
    <w:p w14:paraId="5EDD2083" w14:textId="77777777" w:rsidR="00144FC5" w:rsidRDefault="00144FC5" w:rsidP="00144FC5">
      <w:pPr>
        <w:numPr>
          <w:ilvl w:val="0"/>
          <w:numId w:val="12"/>
        </w:numPr>
        <w:shd w:val="clear" w:color="auto" w:fill="FFFFFF"/>
        <w:spacing w:before="225" w:after="100" w:afterAutospacing="1" w:line="338" w:lineRule="atLeast"/>
        <w:rPr>
          <w:rFonts w:ascii="Open Sans" w:hAnsi="Open Sans" w:cs="Open Sans"/>
          <w:color w:val="212529"/>
        </w:rPr>
      </w:pPr>
      <w:r>
        <w:rPr>
          <w:rStyle w:val="Strong"/>
          <w:rFonts w:ascii="Open Sans" w:hAnsi="Open Sans"/>
          <w:color w:val="212529"/>
        </w:rPr>
        <w:lastRenderedPageBreak/>
        <w:t>Manufacturing defect</w:t>
      </w:r>
      <w:r>
        <w:rPr>
          <w:rFonts w:ascii="Open Sans" w:hAnsi="Open Sans"/>
          <w:color w:val="212529"/>
        </w:rPr>
        <w:t>: Deviation during production from the standards set by the manufacturer themselves with regard to design and quality</w:t>
      </w:r>
    </w:p>
    <w:p w14:paraId="643521B9" w14:textId="77777777" w:rsidR="00144FC5" w:rsidRDefault="00144FC5" w:rsidP="00144FC5">
      <w:pPr>
        <w:numPr>
          <w:ilvl w:val="0"/>
          <w:numId w:val="12"/>
        </w:numPr>
        <w:shd w:val="clear" w:color="auto" w:fill="FFFFFF"/>
        <w:spacing w:before="225" w:after="100" w:afterAutospacing="1" w:line="338" w:lineRule="atLeast"/>
        <w:rPr>
          <w:rFonts w:ascii="Open Sans" w:hAnsi="Open Sans" w:cs="Open Sans"/>
          <w:color w:val="212529"/>
        </w:rPr>
      </w:pPr>
      <w:r>
        <w:rPr>
          <w:rStyle w:val="Strong"/>
          <w:rFonts w:ascii="Open Sans" w:hAnsi="Open Sans"/>
          <w:color w:val="212529"/>
        </w:rPr>
        <w:t>Instruction defect</w:t>
      </w:r>
      <w:r>
        <w:rPr>
          <w:rFonts w:ascii="Open Sans" w:hAnsi="Open Sans"/>
          <w:color w:val="212529"/>
        </w:rPr>
        <w:t>: Inadequate explanation of how to use the product and the associated risks</w:t>
      </w:r>
    </w:p>
    <w:p w14:paraId="655B91C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ineffectiveness of a product can also lead to liability, as can justified suspicion of a defect (i.e., potential defect in the case of a defective product series or batch).</w:t>
      </w:r>
    </w:p>
    <w:p w14:paraId="04F40B10"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Harm attributable to an absence of or deficient </w:t>
      </w:r>
      <w:r>
        <w:rPr>
          <w:rStyle w:val="Strong"/>
          <w:rFonts w:ascii="Open Sans" w:hAnsi="Open Sans"/>
          <w:color w:val="212529"/>
          <w:sz w:val="23"/>
        </w:rPr>
        <w:t>product surveillance</w:t>
      </w:r>
      <w:r>
        <w:rPr>
          <w:rFonts w:ascii="Open Sans" w:hAnsi="Open Sans"/>
          <w:color w:val="212529"/>
          <w:sz w:val="23"/>
        </w:rPr>
        <w:t xml:space="preserve"> (e.g., inadequate post-market surveillance (PMS)) is not compensated under the Produkthaftungsgesetz but under general tort law (§ 823 BGB).</w:t>
      </w:r>
    </w:p>
    <w:p w14:paraId="215905C8"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A good PMS system helps to demonstrate compliance with these obligations. In addition to the </w:t>
      </w:r>
      <w:proofErr w:type="spellStart"/>
      <w:r>
        <w:rPr>
          <w:rFonts w:ascii="Open Sans" w:hAnsi="Open Sans"/>
          <w:color w:val="212529"/>
          <w:sz w:val="23"/>
        </w:rPr>
        <w:t>the</w:t>
      </w:r>
      <w:proofErr w:type="spellEnd"/>
      <w:r>
        <w:rPr>
          <w:rFonts w:ascii="Open Sans" w:hAnsi="Open Sans"/>
          <w:color w:val="212529"/>
          <w:sz w:val="23"/>
        </w:rPr>
        <w:t xml:space="preserve"> products manufactured by the company itself, it should include relevant accessories (even if they are produced by a different manufacturer).</w:t>
      </w:r>
    </w:p>
    <w:p w14:paraId="6F3FA07F" w14:textId="77777777" w:rsidR="00144FC5" w:rsidRDefault="00144FC5" w:rsidP="00144FC5">
      <w:pPr>
        <w:shd w:val="clear" w:color="auto" w:fill="EFEFEF"/>
        <w:rPr>
          <w:rFonts w:ascii="Segoe UI" w:hAnsi="Segoe UI" w:cs="Segoe UI"/>
          <w:b/>
          <w:bCs/>
          <w:color w:val="212529"/>
          <w:sz w:val="23"/>
          <w:szCs w:val="23"/>
        </w:rPr>
      </w:pPr>
      <w:r>
        <w:rPr>
          <w:rFonts w:ascii="Segoe UI" w:hAnsi="Segoe UI"/>
          <w:b/>
          <w:color w:val="212529"/>
          <w:sz w:val="23"/>
        </w:rPr>
        <w:t> Tip</w:t>
      </w:r>
    </w:p>
    <w:p w14:paraId="76FD15FB" w14:textId="77777777" w:rsidR="00144FC5" w:rsidRDefault="00144FC5" w:rsidP="00144FC5">
      <w:pPr>
        <w:pStyle w:val="NormalWeb"/>
        <w:shd w:val="clear" w:color="auto" w:fill="EFEFEF"/>
        <w:spacing w:before="225" w:beforeAutospacing="0" w:line="338" w:lineRule="atLeast"/>
        <w:rPr>
          <w:rFonts w:ascii="Open Sans" w:hAnsi="Open Sans" w:cs="Open Sans"/>
          <w:color w:val="212529"/>
          <w:sz w:val="23"/>
          <w:szCs w:val="23"/>
        </w:rPr>
      </w:pPr>
      <w:r>
        <w:rPr>
          <w:rFonts w:ascii="Open Sans" w:hAnsi="Open Sans"/>
          <w:color w:val="212529"/>
          <w:sz w:val="23"/>
        </w:rPr>
        <w:t>See the "Honda ruling” on this. You can find the link below.</w:t>
      </w:r>
    </w:p>
    <w:p w14:paraId="6641231C"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3. Additional regulations and judgments</w:t>
      </w:r>
    </w:p>
    <w:p w14:paraId="6BECDCC9"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In addition to the Produkthaftungsgesetz, there are a large number of other legal standards and judgments that are referred to for damages claims.</w:t>
      </w:r>
    </w:p>
    <w:p w14:paraId="78DEEF45"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Relevant regulations</w:t>
      </w:r>
    </w:p>
    <w:p w14:paraId="1B8E2BC5"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following regulations are particularly relevant at a European and national level:</w:t>
      </w:r>
    </w:p>
    <w:p w14:paraId="3831E83A" w14:textId="77777777" w:rsidR="00144FC5" w:rsidRDefault="00144FC5" w:rsidP="00144FC5">
      <w:pPr>
        <w:numPr>
          <w:ilvl w:val="0"/>
          <w:numId w:val="13"/>
        </w:numPr>
        <w:shd w:val="clear" w:color="auto" w:fill="FFFFFF"/>
        <w:spacing w:before="225" w:after="100" w:afterAutospacing="1" w:line="338" w:lineRule="atLeast"/>
        <w:rPr>
          <w:rFonts w:ascii="Open Sans" w:hAnsi="Open Sans" w:cs="Open Sans"/>
          <w:color w:val="212529"/>
          <w:sz w:val="24"/>
        </w:rPr>
      </w:pPr>
      <w:r>
        <w:rPr>
          <w:rFonts w:ascii="Open Sans" w:hAnsi="Open Sans"/>
          <w:color w:val="212529"/>
        </w:rPr>
        <w:t>ProdHaftG</w:t>
      </w:r>
    </w:p>
    <w:p w14:paraId="6DA6D3BB" w14:textId="77777777" w:rsidR="00144FC5" w:rsidRDefault="00144FC5" w:rsidP="00144FC5">
      <w:pPr>
        <w:numPr>
          <w:ilvl w:val="0"/>
          <w:numId w:val="13"/>
        </w:numPr>
        <w:shd w:val="clear" w:color="auto" w:fill="FFFFFF"/>
        <w:spacing w:before="225" w:after="100" w:afterAutospacing="1" w:line="338" w:lineRule="atLeast"/>
        <w:rPr>
          <w:rFonts w:ascii="Open Sans" w:hAnsi="Open Sans" w:cs="Open Sans"/>
          <w:color w:val="212529"/>
        </w:rPr>
      </w:pPr>
      <w:r w:rsidRPr="00527766">
        <w:rPr>
          <w:rFonts w:ascii="Open Sans" w:hAnsi="Open Sans"/>
          <w:color w:val="212529"/>
          <w:lang w:val="fr-FR"/>
        </w:rPr>
        <w:t xml:space="preserve">BGB, particularly Section 823 et seq. </w:t>
      </w:r>
      <w:r>
        <w:rPr>
          <w:rFonts w:ascii="Open Sans" w:hAnsi="Open Sans"/>
          <w:color w:val="212529"/>
        </w:rPr>
        <w:t>BGB</w:t>
      </w:r>
    </w:p>
    <w:p w14:paraId="3415A4E5" w14:textId="19DA653E" w:rsidR="00144FC5" w:rsidRDefault="00527766" w:rsidP="00144FC5">
      <w:pPr>
        <w:numPr>
          <w:ilvl w:val="0"/>
          <w:numId w:val="13"/>
        </w:numPr>
        <w:shd w:val="clear" w:color="auto" w:fill="FFFFFF"/>
        <w:spacing w:before="225" w:after="100" w:afterAutospacing="1" w:line="338" w:lineRule="atLeast"/>
        <w:rPr>
          <w:rFonts w:ascii="Open Sans" w:hAnsi="Open Sans" w:cs="Open Sans"/>
          <w:color w:val="212529"/>
        </w:rPr>
      </w:pPr>
      <w:hyperlink r:id="rId14" w:history="1">
        <w:r w:rsidR="00845D41">
          <w:rPr>
            <w:rStyle w:val="Hyperlink"/>
            <w:rFonts w:ascii="Open Sans" w:hAnsi="Open Sans"/>
            <w:b/>
          </w:rPr>
          <w:t>MDR</w:t>
        </w:r>
      </w:hyperlink>
      <w:r w:rsidR="009730B4">
        <w:rPr>
          <w:rStyle w:val="Hyperlink"/>
          <w:rFonts w:ascii="Open Sans" w:hAnsi="Open Sans"/>
          <w:b/>
        </w:rPr>
        <w:t xml:space="preserve"> </w:t>
      </w:r>
      <w:r w:rsidR="00845D41">
        <w:rPr>
          <w:rFonts w:ascii="Open Sans" w:hAnsi="Open Sans"/>
          <w:color w:val="212529"/>
        </w:rPr>
        <w:t>and</w:t>
      </w:r>
      <w:r w:rsidR="009730B4">
        <w:rPr>
          <w:rFonts w:ascii="Open Sans" w:hAnsi="Open Sans"/>
          <w:color w:val="212529"/>
        </w:rPr>
        <w:t xml:space="preserve"> </w:t>
      </w:r>
      <w:hyperlink r:id="rId15" w:history="1">
        <w:r w:rsidR="00845D41">
          <w:rPr>
            <w:rStyle w:val="Hyperlink"/>
            <w:rFonts w:ascii="Open Sans" w:hAnsi="Open Sans"/>
            <w:b/>
          </w:rPr>
          <w:t>IVDR</w:t>
        </w:r>
      </w:hyperlink>
    </w:p>
    <w:p w14:paraId="3D63B7B0" w14:textId="77777777" w:rsidR="00144FC5" w:rsidRDefault="00144FC5" w:rsidP="00144FC5">
      <w:pPr>
        <w:numPr>
          <w:ilvl w:val="0"/>
          <w:numId w:val="13"/>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MPG/MPDG</w:t>
      </w:r>
    </w:p>
    <w:p w14:paraId="358AB441" w14:textId="77777777" w:rsidR="00144FC5" w:rsidRDefault="00144FC5" w:rsidP="00144FC5">
      <w:pPr>
        <w:numPr>
          <w:ilvl w:val="0"/>
          <w:numId w:val="13"/>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MPSV</w:t>
      </w:r>
    </w:p>
    <w:p w14:paraId="2531E8DF" w14:textId="77777777" w:rsidR="00144FC5" w:rsidRDefault="00527766" w:rsidP="00144FC5">
      <w:pPr>
        <w:numPr>
          <w:ilvl w:val="0"/>
          <w:numId w:val="13"/>
        </w:numPr>
        <w:shd w:val="clear" w:color="auto" w:fill="FFFFFF"/>
        <w:spacing w:before="225" w:after="100" w:afterAutospacing="1" w:line="338" w:lineRule="atLeast"/>
        <w:rPr>
          <w:rFonts w:ascii="Open Sans" w:hAnsi="Open Sans" w:cs="Open Sans"/>
          <w:color w:val="212529"/>
        </w:rPr>
      </w:pPr>
      <w:hyperlink r:id="rId16" w:history="1">
        <w:r w:rsidR="00845D41">
          <w:rPr>
            <w:rStyle w:val="Hyperlink"/>
            <w:rFonts w:ascii="Open Sans" w:hAnsi="Open Sans"/>
            <w:b/>
          </w:rPr>
          <w:t>MPBetreibV</w:t>
        </w:r>
      </w:hyperlink>
    </w:p>
    <w:p w14:paraId="06BF82E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lastRenderedPageBreak/>
        <w:t xml:space="preserve">Depending on the exact type of product, other laws may apply, for example, the </w:t>
      </w:r>
      <w:hyperlink r:id="rId17" w:history="1">
        <w:r>
          <w:rPr>
            <w:rStyle w:val="Hyperlink"/>
            <w:rFonts w:ascii="Open Sans" w:hAnsi="Open Sans"/>
            <w:b/>
            <w:sz w:val="23"/>
          </w:rPr>
          <w:t>DiGAV</w:t>
        </w:r>
      </w:hyperlink>
      <w:r>
        <w:rPr>
          <w:rFonts w:ascii="Open Sans" w:hAnsi="Open Sans"/>
          <w:color w:val="212529"/>
          <w:sz w:val="23"/>
        </w:rPr>
        <w:t xml:space="preserve"> if statutory </w:t>
      </w:r>
      <w:hyperlink r:id="rId18" w:tgtFrame="_blank" w:history="1">
        <w:r>
          <w:rPr>
            <w:rStyle w:val="Hyperlink"/>
            <w:rFonts w:ascii="Open Sans" w:hAnsi="Open Sans"/>
            <w:b/>
            <w:sz w:val="23"/>
          </w:rPr>
          <w:t>interoperability requirements</w:t>
        </w:r>
      </w:hyperlink>
      <w:r>
        <w:rPr>
          <w:rFonts w:ascii="Open Sans" w:hAnsi="Open Sans"/>
          <w:color w:val="212529"/>
          <w:sz w:val="23"/>
        </w:rPr>
        <w:t xml:space="preserve"> are not met and harm occurs as a result.</w:t>
      </w:r>
    </w:p>
    <w:p w14:paraId="7C0D0A10"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b) Relevant judgments</w:t>
      </w:r>
    </w:p>
    <w:p w14:paraId="1B481295"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Case law is also used in judgments. The following judgments are particularly relevant for medical devices:</w:t>
      </w:r>
    </w:p>
    <w:p w14:paraId="36FDA0E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German Federal Court of Justice (BGH) judgments</w:t>
      </w:r>
    </w:p>
    <w:p w14:paraId="3B121E99" w14:textId="77777777" w:rsidR="00144FC5" w:rsidRDefault="00527766" w:rsidP="00144FC5">
      <w:pPr>
        <w:numPr>
          <w:ilvl w:val="0"/>
          <w:numId w:val="14"/>
        </w:numPr>
        <w:shd w:val="clear" w:color="auto" w:fill="FFFFFF"/>
        <w:spacing w:before="225" w:after="100" w:afterAutospacing="1" w:line="338" w:lineRule="atLeast"/>
        <w:rPr>
          <w:rFonts w:ascii="Open Sans" w:hAnsi="Open Sans" w:cs="Open Sans"/>
          <w:color w:val="212529"/>
          <w:sz w:val="24"/>
        </w:rPr>
      </w:pPr>
      <w:hyperlink r:id="rId19" w:tgtFrame="_blank" w:history="1">
        <w:r w:rsidR="00845D41">
          <w:rPr>
            <w:rStyle w:val="Hyperlink"/>
            <w:rFonts w:ascii="Open Sans" w:hAnsi="Open Sans"/>
            <w:b/>
          </w:rPr>
          <w:t>December 09, 1986, ref.</w:t>
        </w:r>
      </w:hyperlink>
      <w:hyperlink r:id="rId20" w:tgtFrame="_blank" w:history="1">
        <w:r w:rsidR="00845D41">
          <w:rPr>
            <w:rStyle w:val="Hyperlink"/>
            <w:rFonts w:ascii="Open Sans" w:hAnsi="Open Sans"/>
            <w:b/>
          </w:rPr>
          <w:t xml:space="preserve"> VI ZR 65/86</w:t>
        </w:r>
      </w:hyperlink>
      <w:r w:rsidR="00845D41">
        <w:rPr>
          <w:rFonts w:ascii="Open Sans" w:hAnsi="Open Sans"/>
          <w:color w:val="212529"/>
        </w:rPr>
        <w:t> (Honda judgment): Manufacturer's product monitoring obligations, particularly with regard to third-party accessories</w:t>
      </w:r>
    </w:p>
    <w:p w14:paraId="412CB045" w14:textId="77777777" w:rsidR="00144FC5" w:rsidRDefault="00527766" w:rsidP="00144FC5">
      <w:pPr>
        <w:numPr>
          <w:ilvl w:val="0"/>
          <w:numId w:val="14"/>
        </w:numPr>
        <w:shd w:val="clear" w:color="auto" w:fill="FFFFFF"/>
        <w:spacing w:before="225" w:after="100" w:afterAutospacing="1" w:line="338" w:lineRule="atLeast"/>
        <w:rPr>
          <w:rFonts w:ascii="Open Sans" w:hAnsi="Open Sans" w:cs="Open Sans"/>
          <w:color w:val="212529"/>
        </w:rPr>
      </w:pPr>
      <w:hyperlink r:id="rId21" w:tgtFrame="_blank" w:history="1">
        <w:r w:rsidR="00845D41">
          <w:rPr>
            <w:rStyle w:val="Hyperlink"/>
            <w:rFonts w:ascii="Open Sans" w:hAnsi="Open Sans"/>
            <w:b/>
          </w:rPr>
          <w:t>December 16, 2008, ref.:</w:t>
        </w:r>
      </w:hyperlink>
      <w:hyperlink r:id="rId22" w:tgtFrame="_blank" w:history="1">
        <w:r w:rsidR="00845D41">
          <w:rPr>
            <w:rStyle w:val="Hyperlink"/>
            <w:rFonts w:ascii="Open Sans" w:hAnsi="Open Sans"/>
            <w:b/>
          </w:rPr>
          <w:t xml:space="preserve"> VI ZR 170/07</w:t>
        </w:r>
      </w:hyperlink>
      <w:r w:rsidR="00845D41">
        <w:rPr>
          <w:rFonts w:ascii="Open Sans" w:hAnsi="Open Sans"/>
          <w:color w:val="212529"/>
        </w:rPr>
        <w:t>: Obligations of manufacturers in the case of products with safety defects</w:t>
      </w:r>
    </w:p>
    <w:p w14:paraId="6A7314FD" w14:textId="77777777" w:rsidR="00144FC5" w:rsidRDefault="00527766" w:rsidP="00144FC5">
      <w:pPr>
        <w:numPr>
          <w:ilvl w:val="0"/>
          <w:numId w:val="14"/>
        </w:numPr>
        <w:shd w:val="clear" w:color="auto" w:fill="FFFFFF"/>
        <w:spacing w:before="225" w:after="100" w:afterAutospacing="1" w:line="338" w:lineRule="atLeast"/>
        <w:rPr>
          <w:rFonts w:ascii="Open Sans" w:hAnsi="Open Sans" w:cs="Open Sans"/>
          <w:color w:val="212529"/>
        </w:rPr>
      </w:pPr>
      <w:hyperlink r:id="rId23" w:tgtFrame="_blank" w:history="1">
        <w:r w:rsidR="00845D41">
          <w:rPr>
            <w:rStyle w:val="Hyperlink"/>
            <w:rFonts w:ascii="Open Sans" w:hAnsi="Open Sans"/>
            <w:b/>
          </w:rPr>
          <w:t>February 27, 2020, ref.:</w:t>
        </w:r>
      </w:hyperlink>
      <w:hyperlink r:id="rId24" w:tgtFrame="_blank" w:history="1">
        <w:r w:rsidR="00845D41">
          <w:rPr>
            <w:rStyle w:val="Hyperlink"/>
            <w:rFonts w:ascii="Open Sans" w:hAnsi="Open Sans"/>
            <w:b/>
          </w:rPr>
          <w:t xml:space="preserve"> VII ZR 151/18</w:t>
        </w:r>
      </w:hyperlink>
      <w:r w:rsidR="00845D41">
        <w:rPr>
          <w:rFonts w:ascii="Open Sans" w:hAnsi="Open Sans"/>
          <w:color w:val="212529"/>
        </w:rPr>
        <w:t> (Tortious liability for consequences of the use of PIP breast implants)</w:t>
      </w:r>
    </w:p>
    <w:p w14:paraId="5BF92A8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German Higher Regional Court (OLG) judgments</w:t>
      </w:r>
    </w:p>
    <w:p w14:paraId="00E0E66B" w14:textId="77777777" w:rsidR="00144FC5" w:rsidRDefault="00144FC5" w:rsidP="00144FC5">
      <w:pPr>
        <w:numPr>
          <w:ilvl w:val="0"/>
          <w:numId w:val="15"/>
        </w:numPr>
        <w:shd w:val="clear" w:color="auto" w:fill="FFFFFF"/>
        <w:spacing w:before="225" w:after="100" w:afterAutospacing="1" w:line="338" w:lineRule="atLeast"/>
        <w:rPr>
          <w:rFonts w:ascii="Open Sans" w:hAnsi="Open Sans" w:cs="Open Sans"/>
          <w:color w:val="212529"/>
          <w:sz w:val="24"/>
        </w:rPr>
      </w:pPr>
      <w:r>
        <w:rPr>
          <w:rFonts w:ascii="Open Sans" w:hAnsi="Open Sans"/>
          <w:color w:val="212529"/>
        </w:rPr>
        <w:t xml:space="preserve">OLG </w:t>
      </w:r>
      <w:proofErr w:type="spellStart"/>
      <w:r>
        <w:rPr>
          <w:rFonts w:ascii="Open Sans" w:hAnsi="Open Sans"/>
          <w:color w:val="212529"/>
        </w:rPr>
        <w:t>Saarbrücken</w:t>
      </w:r>
      <w:proofErr w:type="spellEnd"/>
      <w:r>
        <w:rPr>
          <w:rFonts w:ascii="Open Sans" w:hAnsi="Open Sans"/>
          <w:color w:val="212529"/>
        </w:rPr>
        <w:t>, judgment of August 03, 2011, ref.: 1 U 316/10-89: Manufacturer's liability for medical devices - telescopic nails</w:t>
      </w:r>
    </w:p>
    <w:p w14:paraId="4EF44FE4" w14:textId="77777777" w:rsidR="00144FC5" w:rsidRDefault="00144FC5" w:rsidP="00144FC5">
      <w:pPr>
        <w:numPr>
          <w:ilvl w:val="0"/>
          <w:numId w:val="15"/>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OLG Düsseldorf, judgment of March 14, 2012, ref.: I-15 U 122/10: Liability of medical device distributors, in particular warning and recall obligations, MPSV obligations</w:t>
      </w:r>
    </w:p>
    <w:p w14:paraId="0DA9C070" w14:textId="77777777" w:rsidR="00144FC5" w:rsidRDefault="00144FC5" w:rsidP="00144FC5">
      <w:pPr>
        <w:numPr>
          <w:ilvl w:val="0"/>
          <w:numId w:val="15"/>
        </w:numPr>
        <w:shd w:val="clear" w:color="auto" w:fill="FFFFFF"/>
        <w:spacing w:before="225" w:after="100" w:afterAutospacing="1" w:line="338" w:lineRule="atLeast"/>
        <w:rPr>
          <w:rFonts w:ascii="Open Sans" w:hAnsi="Open Sans" w:cs="Open Sans"/>
          <w:color w:val="212529"/>
        </w:rPr>
      </w:pPr>
      <w:proofErr w:type="spellStart"/>
      <w:r>
        <w:rPr>
          <w:rFonts w:ascii="Open Sans" w:hAnsi="Open Sans"/>
          <w:color w:val="212529"/>
        </w:rPr>
        <w:t>Kammergericht</w:t>
      </w:r>
      <w:proofErr w:type="spellEnd"/>
      <w:r>
        <w:rPr>
          <w:rFonts w:ascii="Open Sans" w:hAnsi="Open Sans"/>
          <w:color w:val="212529"/>
        </w:rPr>
        <w:t xml:space="preserve"> Berlin, judgment of April 03, 2014, ref.: 20 U 253/12: Product liability for combinations of medical devices</w:t>
      </w:r>
    </w:p>
    <w:p w14:paraId="44484920" w14:textId="77777777" w:rsidR="00144FC5" w:rsidRDefault="00144FC5" w:rsidP="00144FC5">
      <w:pPr>
        <w:numPr>
          <w:ilvl w:val="0"/>
          <w:numId w:val="15"/>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OLG Schleswig, judgment of August 29, 2014, ref.: 4 U 21/13): User and operator responsibility for a medical device</w:t>
      </w:r>
    </w:p>
    <w:p w14:paraId="242A328F" w14:textId="77777777" w:rsidR="00144FC5" w:rsidRDefault="00144FC5" w:rsidP="00144FC5">
      <w:pPr>
        <w:numPr>
          <w:ilvl w:val="0"/>
          <w:numId w:val="15"/>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OLG Frankfurt, judgment of January 13, 2015, ref. 8 U 168/13: Prima facie evidence against a medical device manufacturer</w:t>
      </w:r>
    </w:p>
    <w:p w14:paraId="01E25AF0"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ECJ judgments</w:t>
      </w:r>
    </w:p>
    <w:p w14:paraId="63C76B7F" w14:textId="77777777" w:rsidR="00144FC5" w:rsidRDefault="00527766" w:rsidP="00144FC5">
      <w:pPr>
        <w:numPr>
          <w:ilvl w:val="0"/>
          <w:numId w:val="16"/>
        </w:numPr>
        <w:shd w:val="clear" w:color="auto" w:fill="FFFFFF"/>
        <w:spacing w:before="225" w:after="100" w:afterAutospacing="1" w:line="338" w:lineRule="atLeast"/>
        <w:rPr>
          <w:rFonts w:ascii="Open Sans" w:hAnsi="Open Sans" w:cs="Open Sans"/>
          <w:color w:val="212529"/>
          <w:sz w:val="24"/>
        </w:rPr>
      </w:pPr>
      <w:hyperlink r:id="rId25" w:tgtFrame="_blank" w:history="1">
        <w:r w:rsidR="00845D41">
          <w:rPr>
            <w:rStyle w:val="Hyperlink"/>
            <w:rFonts w:ascii="Open Sans" w:hAnsi="Open Sans"/>
            <w:b/>
          </w:rPr>
          <w:t>March 5, 2015, ref.:</w:t>
        </w:r>
      </w:hyperlink>
      <w:hyperlink r:id="rId26" w:tgtFrame="_blank" w:history="1">
        <w:r w:rsidR="00845D41">
          <w:rPr>
            <w:rStyle w:val="Hyperlink"/>
            <w:rFonts w:ascii="Open Sans" w:hAnsi="Open Sans"/>
            <w:b/>
          </w:rPr>
          <w:t xml:space="preserve"> C-503/13, C-504/13</w:t>
        </w:r>
      </w:hyperlink>
      <w:r w:rsidR="00845D41">
        <w:rPr>
          <w:rFonts w:ascii="Open Sans" w:hAnsi="Open Sans"/>
          <w:color w:val="212529"/>
        </w:rPr>
        <w:t> (Boston Scientific/AOK Sachsen-Anhalt): Product liability for potentially defective medical device</w:t>
      </w:r>
    </w:p>
    <w:p w14:paraId="7473DDD3" w14:textId="77777777" w:rsidR="00144FC5" w:rsidRDefault="00527766" w:rsidP="00144FC5">
      <w:pPr>
        <w:numPr>
          <w:ilvl w:val="0"/>
          <w:numId w:val="16"/>
        </w:numPr>
        <w:shd w:val="clear" w:color="auto" w:fill="FFFFFF"/>
        <w:spacing w:before="225" w:after="100" w:afterAutospacing="1" w:line="338" w:lineRule="atLeast"/>
        <w:rPr>
          <w:rFonts w:ascii="Open Sans" w:hAnsi="Open Sans" w:cs="Open Sans"/>
          <w:color w:val="212529"/>
        </w:rPr>
      </w:pPr>
      <w:hyperlink r:id="rId27" w:tgtFrame="_blank" w:history="1">
        <w:r w:rsidR="00845D41">
          <w:rPr>
            <w:rStyle w:val="Hyperlink"/>
            <w:rFonts w:ascii="Open Sans" w:hAnsi="Open Sans"/>
            <w:b/>
          </w:rPr>
          <w:t>February 16, 2017, ref.:</w:t>
        </w:r>
      </w:hyperlink>
      <w:hyperlink r:id="rId28" w:tgtFrame="_blank" w:history="1">
        <w:r w:rsidR="00845D41">
          <w:rPr>
            <w:rStyle w:val="Hyperlink"/>
            <w:rFonts w:ascii="Open Sans" w:hAnsi="Open Sans"/>
            <w:b/>
          </w:rPr>
          <w:t xml:space="preserve"> C-219/15</w:t>
        </w:r>
      </w:hyperlink>
      <w:r w:rsidR="00845D41">
        <w:rPr>
          <w:rFonts w:ascii="Open Sans" w:hAnsi="Open Sans"/>
          <w:color w:val="212529"/>
        </w:rPr>
        <w:t xml:space="preserve"> (Schmitt/TÜV </w:t>
      </w:r>
      <w:proofErr w:type="spellStart"/>
      <w:r w:rsidR="00845D41">
        <w:rPr>
          <w:rFonts w:ascii="Open Sans" w:hAnsi="Open Sans"/>
          <w:color w:val="212529"/>
        </w:rPr>
        <w:t>Rheinland</w:t>
      </w:r>
      <w:proofErr w:type="spellEnd"/>
      <w:r w:rsidR="00845D41">
        <w:rPr>
          <w:rFonts w:ascii="Open Sans" w:hAnsi="Open Sans"/>
          <w:color w:val="212529"/>
        </w:rPr>
        <w:t>): Obligations and liability of notified bodies with regard to medical devices</w:t>
      </w:r>
    </w:p>
    <w:p w14:paraId="1C11CDB5" w14:textId="77777777" w:rsidR="00144FC5" w:rsidRDefault="00527766" w:rsidP="00144FC5">
      <w:pPr>
        <w:numPr>
          <w:ilvl w:val="0"/>
          <w:numId w:val="16"/>
        </w:numPr>
        <w:shd w:val="clear" w:color="auto" w:fill="FFFFFF"/>
        <w:spacing w:before="225" w:after="100" w:afterAutospacing="1" w:line="338" w:lineRule="atLeast"/>
        <w:rPr>
          <w:rFonts w:ascii="Open Sans" w:hAnsi="Open Sans" w:cs="Open Sans"/>
          <w:color w:val="212529"/>
        </w:rPr>
      </w:pPr>
      <w:hyperlink r:id="rId29" w:tgtFrame="_blank" w:history="1">
        <w:r w:rsidR="00845D41">
          <w:rPr>
            <w:rStyle w:val="Hyperlink"/>
            <w:rFonts w:ascii="Open Sans" w:hAnsi="Open Sans"/>
            <w:b/>
          </w:rPr>
          <w:t>September 6, 2018, ref.:</w:t>
        </w:r>
      </w:hyperlink>
      <w:hyperlink r:id="rId30" w:tgtFrame="_blank" w:history="1">
        <w:r w:rsidR="00845D41">
          <w:rPr>
            <w:rStyle w:val="Hyperlink"/>
            <w:rFonts w:ascii="Open Sans" w:hAnsi="Open Sans"/>
            <w:b/>
          </w:rPr>
          <w:t xml:space="preserve"> C-346/17 P</w:t>
        </w:r>
      </w:hyperlink>
      <w:r w:rsidR="00845D41">
        <w:rPr>
          <w:rFonts w:ascii="Open Sans" w:hAnsi="Open Sans"/>
          <w:color w:val="212529"/>
        </w:rPr>
        <w:t>: Prohibition of the placing on the market of a medical device</w:t>
      </w:r>
    </w:p>
    <w:p w14:paraId="720D5B83"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Other judgments</w:t>
      </w:r>
    </w:p>
    <w:p w14:paraId="057CAABA" w14:textId="77777777" w:rsidR="00144FC5" w:rsidRDefault="00144FC5" w:rsidP="00144FC5">
      <w:pPr>
        <w:numPr>
          <w:ilvl w:val="0"/>
          <w:numId w:val="17"/>
        </w:numPr>
        <w:shd w:val="clear" w:color="auto" w:fill="FFFFFF"/>
        <w:spacing w:before="225" w:after="100" w:afterAutospacing="1" w:line="338" w:lineRule="atLeast"/>
        <w:rPr>
          <w:rFonts w:ascii="Open Sans" w:hAnsi="Open Sans" w:cs="Open Sans"/>
          <w:color w:val="212529"/>
          <w:sz w:val="24"/>
        </w:rPr>
      </w:pPr>
      <w:r>
        <w:rPr>
          <w:rFonts w:ascii="Open Sans" w:hAnsi="Open Sans"/>
          <w:color w:val="212529"/>
        </w:rPr>
        <w:t>Freiburg State Court, judgment of October 15, 2018, ref.: 1 O 240/10: Claims for compensation resulting from product liability for defective medical device – prosthetic hip</w:t>
      </w:r>
    </w:p>
    <w:p w14:paraId="1AAE580C"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4. Evidence in product liability cases</w:t>
      </w:r>
    </w:p>
    <w:p w14:paraId="2D7479DC"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Principle</w:t>
      </w:r>
    </w:p>
    <w:p w14:paraId="6873BAEC"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According to the Produkthaftungsgesetz, the injured person has to prove the product defect, the damage and the causal relationship between the defect and the damage (Section 1(4)(1) ProdHaftG).</w:t>
      </w:r>
    </w:p>
    <w:p w14:paraId="3AD6CCF2" w14:textId="4A44A349"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w:t>
      </w:r>
      <w:r>
        <w:rPr>
          <w:rStyle w:val="Strong"/>
          <w:rFonts w:ascii="Open Sans" w:hAnsi="Open Sans"/>
          <w:color w:val="212529"/>
          <w:sz w:val="23"/>
        </w:rPr>
        <w:t>injured person</w:t>
      </w:r>
      <w:r>
        <w:rPr>
          <w:rFonts w:ascii="Open Sans" w:hAnsi="Open Sans"/>
          <w:color w:val="212529"/>
          <w:sz w:val="23"/>
        </w:rPr>
        <w:t xml:space="preserve"> must demonstrate that the product was defective </w:t>
      </w:r>
      <w:r>
        <w:rPr>
          <w:rStyle w:val="Strong"/>
          <w:rFonts w:ascii="Open Sans" w:hAnsi="Open Sans"/>
          <w:color w:val="212529"/>
          <w:sz w:val="23"/>
        </w:rPr>
        <w:t>at the time the damage occurred</w:t>
      </w:r>
      <w:r>
        <w:rPr>
          <w:rFonts w:ascii="Open Sans" w:hAnsi="Open Sans"/>
          <w:color w:val="212529"/>
          <w:sz w:val="23"/>
        </w:rPr>
        <w:t xml:space="preserve">. However, they do not have to prove where and when the defect occurred. Instead, the </w:t>
      </w:r>
      <w:r>
        <w:rPr>
          <w:rStyle w:val="Strong"/>
          <w:rFonts w:ascii="Open Sans" w:hAnsi="Open Sans"/>
          <w:color w:val="212529"/>
          <w:sz w:val="23"/>
        </w:rPr>
        <w:t>manufacturer</w:t>
      </w:r>
      <w:r>
        <w:rPr>
          <w:rFonts w:ascii="Open Sans" w:hAnsi="Open Sans"/>
          <w:color w:val="212529"/>
          <w:sz w:val="23"/>
        </w:rPr>
        <w:t xml:space="preserve"> has to </w:t>
      </w:r>
      <w:r>
        <w:rPr>
          <w:rStyle w:val="Strong"/>
          <w:rFonts w:ascii="Open Sans" w:hAnsi="Open Sans"/>
          <w:color w:val="212529"/>
          <w:sz w:val="23"/>
        </w:rPr>
        <w:t>prove</w:t>
      </w:r>
      <w:r>
        <w:rPr>
          <w:rFonts w:ascii="Open Sans" w:hAnsi="Open Sans"/>
          <w:color w:val="212529"/>
          <w:sz w:val="23"/>
        </w:rPr>
        <w:t xml:space="preserve"> that it did not breach its duty of care, i.e., it must prove that its product was </w:t>
      </w:r>
      <w:r>
        <w:rPr>
          <w:rStyle w:val="Strong"/>
          <w:rFonts w:ascii="Open Sans" w:hAnsi="Open Sans"/>
          <w:color w:val="212529"/>
          <w:sz w:val="23"/>
        </w:rPr>
        <w:t>free of defects at the time it was placed on the market</w:t>
      </w:r>
      <w:r>
        <w:rPr>
          <w:rFonts w:ascii="Open Sans" w:hAnsi="Open Sans"/>
          <w:color w:val="212529"/>
          <w:sz w:val="23"/>
        </w:rPr>
        <w:t xml:space="preserve"> (Section 1(2)(2) ProdHaftG).</w:t>
      </w:r>
    </w:p>
    <w:p w14:paraId="5D813841" w14:textId="3A808C02" w:rsidR="0086236F" w:rsidRPr="0091690B" w:rsidRDefault="0091690B" w:rsidP="00144FC5">
      <w:pPr>
        <w:pStyle w:val="NormalWeb"/>
        <w:shd w:val="clear" w:color="auto" w:fill="FFFFFF"/>
        <w:spacing w:before="225" w:beforeAutospacing="0" w:line="338" w:lineRule="atLeast"/>
        <w:rPr>
          <w:rFonts w:ascii="Open Sans" w:hAnsi="Open Sans" w:cs="Open Sans"/>
          <w:color w:val="212529"/>
          <w:w w:val="75"/>
          <w:sz w:val="23"/>
          <w:szCs w:val="23"/>
        </w:rPr>
      </w:pPr>
      <w:r w:rsidRPr="0091690B">
        <w:rPr>
          <w:rFonts w:ascii="Open Sans" w:hAnsi="Open Sans"/>
          <w:noProof/>
          <w:color w:val="212529"/>
          <w:w w:val="75"/>
          <w:sz w:val="23"/>
        </w:rPr>
        <mc:AlternateContent>
          <mc:Choice Requires="wps">
            <w:drawing>
              <wp:anchor distT="45720" distB="45720" distL="114300" distR="114300" simplePos="0" relativeHeight="251667456" behindDoc="0" locked="0" layoutInCell="1" allowOverlap="1" wp14:anchorId="29DB11AF" wp14:editId="5D88C499">
                <wp:simplePos x="0" y="0"/>
                <wp:positionH relativeFrom="column">
                  <wp:posOffset>2216785</wp:posOffset>
                </wp:positionH>
                <wp:positionV relativeFrom="paragraph">
                  <wp:posOffset>1308100</wp:posOffset>
                </wp:positionV>
                <wp:extent cx="1440180" cy="140462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noFill/>
                        <a:ln w="9525">
                          <a:noFill/>
                          <a:miter lim="800000"/>
                          <a:headEnd/>
                          <a:tailEnd/>
                        </a:ln>
                      </wps:spPr>
                      <wps:txbx>
                        <w:txbxContent>
                          <w:p w14:paraId="72E8AF8E"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Placing on the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B11AF" id="_x0000_t202" coordsize="21600,21600" o:spt="202" path="m,l,21600r21600,l21600,xe">
                <v:stroke joinstyle="miter"/>
                <v:path gradientshapeok="t" o:connecttype="rect"/>
              </v:shapetype>
              <v:shape id="Text Box 6" o:spid="_x0000_s1026" type="#_x0000_t202" style="position:absolute;margin-left:174.55pt;margin-top:103pt;width:113.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" filled="f" stroked="f">
                <v:textbox style="mso-fit-shape-to-text:t">
                  <w:txbxContent>
                    <w:p w14:paraId="72E8AF8E"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Placing on the market</w:t>
                      </w:r>
                    </w:p>
                  </w:txbxContent>
                </v:textbox>
              </v:shape>
            </w:pict>
          </mc:Fallback>
        </mc:AlternateContent>
      </w:r>
      <w:r w:rsidRPr="0091690B">
        <w:rPr>
          <w:rFonts w:ascii="Open Sans" w:hAnsi="Open Sans"/>
          <w:noProof/>
          <w:color w:val="212529"/>
          <w:w w:val="75"/>
          <w:sz w:val="23"/>
        </w:rPr>
        <mc:AlternateContent>
          <mc:Choice Requires="wps">
            <w:drawing>
              <wp:anchor distT="45720" distB="45720" distL="114300" distR="114300" simplePos="0" relativeHeight="251661312" behindDoc="0" locked="0" layoutInCell="1" allowOverlap="1" wp14:anchorId="5BBCBE22" wp14:editId="1DBE6BAB">
                <wp:simplePos x="0" y="0"/>
                <wp:positionH relativeFrom="column">
                  <wp:posOffset>3321685</wp:posOffset>
                </wp:positionH>
                <wp:positionV relativeFrom="paragraph">
                  <wp:posOffset>195580</wp:posOffset>
                </wp:positionV>
                <wp:extent cx="2294890" cy="11918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1191895"/>
                        </a:xfrm>
                        <a:prstGeom prst="rect">
                          <a:avLst/>
                        </a:prstGeom>
                        <a:noFill/>
                        <a:ln w="9525">
                          <a:noFill/>
                          <a:miter lim="800000"/>
                          <a:headEnd/>
                          <a:tailEnd/>
                        </a:ln>
                      </wps:spPr>
                      <wps:txbx>
                        <w:txbxContent>
                          <w:p w14:paraId="26A123AB" w14:textId="77777777" w:rsidR="0086236F" w:rsidRPr="0091690B" w:rsidRDefault="0086236F" w:rsidP="0086236F">
                            <w:pPr>
                              <w:spacing w:after="0" w:line="240" w:lineRule="atLeast"/>
                              <w:jc w:val="center"/>
                              <w:rPr>
                                <w:rFonts w:asciiTheme="majorHAnsi" w:hAnsiTheme="majorHAnsi" w:cstheme="majorHAnsi"/>
                                <w:b/>
                                <w:bCs/>
                                <w:color w:val="FFFFFF" w:themeColor="background1"/>
                                <w:w w:val="75"/>
                                <w:sz w:val="32"/>
                                <w:szCs w:val="36"/>
                              </w:rPr>
                            </w:pPr>
                            <w:r w:rsidRPr="0091690B">
                              <w:rPr>
                                <w:rFonts w:asciiTheme="majorHAnsi" w:hAnsiTheme="majorHAnsi"/>
                                <w:b/>
                                <w:color w:val="FFFFFF" w:themeColor="background1"/>
                                <w:w w:val="75"/>
                                <w:sz w:val="32"/>
                              </w:rPr>
                              <w:t>Injured person must prove that the product was defective at the time of the damage.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CBE22" id="Text Box 2" o:spid="_x0000_s1027" type="#_x0000_t202" style="position:absolute;margin-left:261.55pt;margin-top:15.4pt;width:180.7pt;height:93.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" filled="f" stroked="f">
                <v:textbox>
                  <w:txbxContent>
                    <w:p w14:paraId="26A123AB" w14:textId="77777777" w:rsidR="0086236F" w:rsidRPr="0091690B" w:rsidRDefault="0086236F" w:rsidP="0086236F">
                      <w:pPr>
                        <w:spacing w:after="0" w:line="240" w:lineRule="atLeast"/>
                        <w:jc w:val="center"/>
                        <w:rPr>
                          <w:rFonts w:asciiTheme="majorHAnsi" w:hAnsiTheme="majorHAnsi" w:cstheme="majorHAnsi"/>
                          <w:b/>
                          <w:bCs/>
                          <w:color w:val="FFFFFF" w:themeColor="background1"/>
                          <w:w w:val="75"/>
                          <w:sz w:val="32"/>
                          <w:szCs w:val="36"/>
                        </w:rPr>
                      </w:pPr>
                      <w:r w:rsidRPr="0091690B">
                        <w:rPr>
                          <w:rFonts w:asciiTheme="majorHAnsi" w:hAnsiTheme="majorHAnsi"/>
                          <w:b/>
                          <w:color w:val="FFFFFF" w:themeColor="background1"/>
                          <w:w w:val="75"/>
                          <w:sz w:val="32"/>
                        </w:rPr>
                        <w:t>Injured person must prove that the product was defective at the time of the damage.</w:t>
                      </w:r>
                    </w:p>
                  </w:txbxContent>
                </v:textbox>
              </v:shape>
            </w:pict>
          </mc:Fallback>
        </mc:AlternateContent>
      </w:r>
      <w:r w:rsidRPr="0091690B">
        <w:rPr>
          <w:rFonts w:ascii="Open Sans" w:hAnsi="Open Sans"/>
          <w:noProof/>
          <w:color w:val="212529"/>
          <w:w w:val="75"/>
          <w:sz w:val="23"/>
        </w:rPr>
        <mc:AlternateContent>
          <mc:Choice Requires="wps">
            <w:drawing>
              <wp:anchor distT="45720" distB="45720" distL="114300" distR="114300" simplePos="0" relativeHeight="251659264" behindDoc="0" locked="0" layoutInCell="1" allowOverlap="1" wp14:anchorId="40C7AA40" wp14:editId="7C191603">
                <wp:simplePos x="0" y="0"/>
                <wp:positionH relativeFrom="margin">
                  <wp:posOffset>-635</wp:posOffset>
                </wp:positionH>
                <wp:positionV relativeFrom="paragraph">
                  <wp:posOffset>180340</wp:posOffset>
                </wp:positionV>
                <wp:extent cx="2780030" cy="138620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386205"/>
                        </a:xfrm>
                        <a:prstGeom prst="rect">
                          <a:avLst/>
                        </a:prstGeom>
                        <a:noFill/>
                        <a:ln w="9525">
                          <a:noFill/>
                          <a:miter lim="800000"/>
                          <a:headEnd/>
                          <a:tailEnd/>
                        </a:ln>
                      </wps:spPr>
                      <wps:txbx>
                        <w:txbxContent>
                          <w:p w14:paraId="06CCEB35" w14:textId="4E89EA77" w:rsidR="0086236F" w:rsidRPr="0091690B" w:rsidRDefault="0086236F" w:rsidP="0086236F">
                            <w:pPr>
                              <w:spacing w:after="0" w:line="240" w:lineRule="atLeast"/>
                              <w:jc w:val="center"/>
                              <w:rPr>
                                <w:rFonts w:asciiTheme="majorHAnsi" w:hAnsiTheme="majorHAnsi" w:cstheme="majorHAnsi"/>
                                <w:b/>
                                <w:bCs/>
                                <w:color w:val="FFFFFF" w:themeColor="background1"/>
                                <w:w w:val="75"/>
                                <w:sz w:val="32"/>
                                <w:szCs w:val="36"/>
                              </w:rPr>
                            </w:pPr>
                            <w:r w:rsidRPr="0091690B">
                              <w:rPr>
                                <w:rFonts w:asciiTheme="majorHAnsi" w:hAnsiTheme="majorHAnsi"/>
                                <w:b/>
                                <w:color w:val="FFFFFF" w:themeColor="background1"/>
                                <w:w w:val="75"/>
                                <w:sz w:val="32"/>
                              </w:rPr>
                              <w:t>Manufacturer must demonstrate that the product was free of defects at the time it was placed on the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7AA40" id="_x0000_s1028" type="#_x0000_t202" style="position:absolute;margin-left:-.05pt;margin-top:14.2pt;width:218.9pt;height:109.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" filled="f" stroked="f">
                <v:textbox>
                  <w:txbxContent>
                    <w:p w14:paraId="06CCEB35" w14:textId="4E89EA77" w:rsidR="0086236F" w:rsidRPr="0091690B" w:rsidRDefault="0086236F" w:rsidP="0086236F">
                      <w:pPr>
                        <w:spacing w:after="0" w:line="240" w:lineRule="atLeast"/>
                        <w:jc w:val="center"/>
                        <w:rPr>
                          <w:rFonts w:asciiTheme="majorHAnsi" w:hAnsiTheme="majorHAnsi" w:cstheme="majorHAnsi"/>
                          <w:b/>
                          <w:bCs/>
                          <w:color w:val="FFFFFF" w:themeColor="background1"/>
                          <w:w w:val="75"/>
                          <w:sz w:val="32"/>
                          <w:szCs w:val="36"/>
                        </w:rPr>
                      </w:pPr>
                      <w:r w:rsidRPr="0091690B">
                        <w:rPr>
                          <w:rFonts w:asciiTheme="majorHAnsi" w:hAnsiTheme="majorHAnsi"/>
                          <w:b/>
                          <w:color w:val="FFFFFF" w:themeColor="background1"/>
                          <w:w w:val="75"/>
                          <w:sz w:val="32"/>
                        </w:rPr>
                        <w:t>Manufacturer must demonstrate that the product was free of defects at the time it was placed on the market.</w:t>
                      </w:r>
                    </w:p>
                  </w:txbxContent>
                </v:textbox>
                <w10:wrap anchorx="margin"/>
              </v:shape>
            </w:pict>
          </mc:Fallback>
        </mc:AlternateContent>
      </w:r>
      <w:r w:rsidR="009730B4" w:rsidRPr="0091690B">
        <w:rPr>
          <w:rFonts w:ascii="Open Sans" w:hAnsi="Open Sans"/>
          <w:noProof/>
          <w:color w:val="212529"/>
          <w:w w:val="75"/>
          <w:sz w:val="23"/>
        </w:rPr>
        <mc:AlternateContent>
          <mc:Choice Requires="wps">
            <w:drawing>
              <wp:anchor distT="45720" distB="45720" distL="114300" distR="114300" simplePos="0" relativeHeight="251663360" behindDoc="0" locked="0" layoutInCell="1" allowOverlap="1" wp14:anchorId="0AC26A4C" wp14:editId="63EC36F8">
                <wp:simplePos x="0" y="0"/>
                <wp:positionH relativeFrom="column">
                  <wp:posOffset>1233805</wp:posOffset>
                </wp:positionH>
                <wp:positionV relativeFrom="paragraph">
                  <wp:posOffset>1308100</wp:posOffset>
                </wp:positionV>
                <wp:extent cx="1028700" cy="140462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noFill/>
                        <a:ln w="9525">
                          <a:noFill/>
                          <a:miter lim="800000"/>
                          <a:headEnd/>
                          <a:tailEnd/>
                        </a:ln>
                      </wps:spPr>
                      <wps:txbx>
                        <w:txbxContent>
                          <w:p w14:paraId="1CF10D08"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Production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C26A4C" id="Text Box 4" o:spid="_x0000_s1029" type="#_x0000_t202" style="position:absolute;margin-left:97.15pt;margin-top:103pt;width: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" filled="f" stroked="f">
                <v:textbox style="mso-fit-shape-to-text:t">
                  <w:txbxContent>
                    <w:p w14:paraId="1CF10D08"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Production</w:t>
                      </w:r>
                    </w:p>
                  </w:txbxContent>
                </v:textbox>
              </v:shape>
            </w:pict>
          </mc:Fallback>
        </mc:AlternateContent>
      </w:r>
      <w:r w:rsidR="009730B4" w:rsidRPr="0091690B">
        <w:rPr>
          <w:rFonts w:ascii="Open Sans" w:hAnsi="Open Sans"/>
          <w:noProof/>
          <w:color w:val="212529"/>
          <w:w w:val="75"/>
          <w:sz w:val="23"/>
        </w:rPr>
        <mc:AlternateContent>
          <mc:Choice Requires="wps">
            <w:drawing>
              <wp:anchor distT="45720" distB="45720" distL="114300" distR="114300" simplePos="0" relativeHeight="251665408" behindDoc="0" locked="0" layoutInCell="1" allowOverlap="1" wp14:anchorId="192FBB00" wp14:editId="41345648">
                <wp:simplePos x="0" y="0"/>
                <wp:positionH relativeFrom="margin">
                  <wp:posOffset>-635</wp:posOffset>
                </wp:positionH>
                <wp:positionV relativeFrom="paragraph">
                  <wp:posOffset>1308100</wp:posOffset>
                </wp:positionV>
                <wp:extent cx="1348740" cy="5962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596265"/>
                        </a:xfrm>
                        <a:prstGeom prst="rect">
                          <a:avLst/>
                        </a:prstGeom>
                        <a:noFill/>
                        <a:ln w="9525">
                          <a:noFill/>
                          <a:miter lim="800000"/>
                          <a:headEnd/>
                          <a:tailEnd/>
                        </a:ln>
                      </wps:spPr>
                      <wps:txbx>
                        <w:txbxContent>
                          <w:p w14:paraId="62C65D29"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FBB00" id="Text Box 5" o:spid="_x0000_s1030" type="#_x0000_t202" style="position:absolute;margin-left:-.05pt;margin-top:103pt;width:106.2pt;height:46.9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" filled="f" stroked="f">
                <v:textbox style="mso-fit-shape-to-text:t">
                  <w:txbxContent>
                    <w:p w14:paraId="62C65D29"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Development</w:t>
                      </w:r>
                    </w:p>
                  </w:txbxContent>
                </v:textbox>
                <w10:wrap anchorx="margin"/>
              </v:shape>
            </w:pict>
          </mc:Fallback>
        </mc:AlternateContent>
      </w:r>
      <w:r w:rsidR="0086236F" w:rsidRPr="0091690B">
        <w:rPr>
          <w:rFonts w:ascii="Open Sans" w:hAnsi="Open Sans"/>
          <w:noProof/>
          <w:color w:val="212529"/>
          <w:w w:val="75"/>
          <w:sz w:val="23"/>
        </w:rPr>
        <mc:AlternateContent>
          <mc:Choice Requires="wps">
            <w:drawing>
              <wp:anchor distT="45720" distB="45720" distL="114300" distR="114300" simplePos="0" relativeHeight="251671552" behindDoc="0" locked="0" layoutInCell="1" allowOverlap="1" wp14:anchorId="2C8A0492" wp14:editId="45DE2463">
                <wp:simplePos x="0" y="0"/>
                <wp:positionH relativeFrom="column">
                  <wp:posOffset>3586983</wp:posOffset>
                </wp:positionH>
                <wp:positionV relativeFrom="paragraph">
                  <wp:posOffset>1308100</wp:posOffset>
                </wp:positionV>
                <wp:extent cx="1031358"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358" cy="1404620"/>
                        </a:xfrm>
                        <a:prstGeom prst="rect">
                          <a:avLst/>
                        </a:prstGeom>
                        <a:noFill/>
                        <a:ln w="9525">
                          <a:noFill/>
                          <a:miter lim="800000"/>
                          <a:headEnd/>
                          <a:tailEnd/>
                        </a:ln>
                      </wps:spPr>
                      <wps:txbx>
                        <w:txbxContent>
                          <w:p w14:paraId="45954BC0"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A0492" id="Text Box 8" o:spid="_x0000_s1031" type="#_x0000_t202" style="position:absolute;margin-left:282.45pt;margin-top:103pt;width:81.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" filled="f" stroked="f">
                <v:textbox style="mso-fit-shape-to-text:t">
                  <w:txbxContent>
                    <w:p w14:paraId="45954BC0"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Use</w:t>
                      </w:r>
                    </w:p>
                  </w:txbxContent>
                </v:textbox>
              </v:shape>
            </w:pict>
          </mc:Fallback>
        </mc:AlternateContent>
      </w:r>
      <w:r w:rsidR="0086236F" w:rsidRPr="0091690B">
        <w:rPr>
          <w:rFonts w:ascii="Open Sans" w:hAnsi="Open Sans"/>
          <w:noProof/>
          <w:color w:val="212529"/>
          <w:w w:val="75"/>
          <w:sz w:val="23"/>
        </w:rPr>
        <mc:AlternateContent>
          <mc:Choice Requires="wps">
            <w:drawing>
              <wp:anchor distT="45720" distB="45720" distL="114300" distR="114300" simplePos="0" relativeHeight="251669504" behindDoc="0" locked="0" layoutInCell="1" allowOverlap="1" wp14:anchorId="7626D183" wp14:editId="591D3E45">
                <wp:simplePos x="0" y="0"/>
                <wp:positionH relativeFrom="column">
                  <wp:posOffset>4617587</wp:posOffset>
                </wp:positionH>
                <wp:positionV relativeFrom="paragraph">
                  <wp:posOffset>1308100</wp:posOffset>
                </wp:positionV>
                <wp:extent cx="925033"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033" cy="1404620"/>
                        </a:xfrm>
                        <a:prstGeom prst="rect">
                          <a:avLst/>
                        </a:prstGeom>
                        <a:noFill/>
                        <a:ln w="9525">
                          <a:noFill/>
                          <a:miter lim="800000"/>
                          <a:headEnd/>
                          <a:tailEnd/>
                        </a:ln>
                      </wps:spPr>
                      <wps:txbx>
                        <w:txbxContent>
                          <w:p w14:paraId="777E6C7F"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Damage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6D183" id="Text Box 7" o:spid="_x0000_s1032" type="#_x0000_t202" style="position:absolute;margin-left:363.6pt;margin-top:103pt;width:72.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" filled="f" stroked="f">
                <v:textbox style="mso-fit-shape-to-text:t">
                  <w:txbxContent>
                    <w:p w14:paraId="777E6C7F" w14:textId="77777777" w:rsidR="0086236F" w:rsidRPr="0091690B" w:rsidRDefault="0086236F" w:rsidP="0086236F">
                      <w:pPr>
                        <w:spacing w:after="0" w:line="240" w:lineRule="atLeast"/>
                        <w:jc w:val="center"/>
                        <w:rPr>
                          <w:rFonts w:asciiTheme="majorHAnsi" w:hAnsiTheme="majorHAnsi" w:cstheme="majorHAnsi"/>
                          <w:b/>
                          <w:bCs/>
                          <w:w w:val="75"/>
                          <w:sz w:val="32"/>
                          <w:szCs w:val="32"/>
                        </w:rPr>
                      </w:pPr>
                      <w:r w:rsidRPr="0091690B">
                        <w:rPr>
                          <w:rFonts w:asciiTheme="majorHAnsi" w:hAnsiTheme="majorHAnsi"/>
                          <w:b/>
                          <w:w w:val="75"/>
                          <w:sz w:val="32"/>
                          <w:szCs w:val="32"/>
                        </w:rPr>
                        <w:t>Damage</w:t>
                      </w:r>
                    </w:p>
                  </w:txbxContent>
                </v:textbox>
              </v:shape>
            </w:pict>
          </mc:Fallback>
        </mc:AlternateContent>
      </w:r>
      <w:r w:rsidR="0086236F" w:rsidRPr="0091690B">
        <w:rPr>
          <w:rFonts w:ascii="Open Sans" w:hAnsi="Open Sans"/>
          <w:noProof/>
          <w:color w:val="212529"/>
          <w:w w:val="75"/>
          <w:sz w:val="23"/>
        </w:rPr>
        <w:drawing>
          <wp:inline distT="0" distB="0" distL="0" distR="0" wp14:anchorId="62F60302" wp14:editId="12DE4A28">
            <wp:extent cx="5752465" cy="17545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1754505"/>
                    </a:xfrm>
                    <a:prstGeom prst="rect">
                      <a:avLst/>
                    </a:prstGeom>
                    <a:noFill/>
                    <a:ln>
                      <a:noFill/>
                    </a:ln>
                  </pic:spPr>
                </pic:pic>
              </a:graphicData>
            </a:graphic>
          </wp:inline>
        </w:drawing>
      </w:r>
    </w:p>
    <w:p w14:paraId="4157F55F" w14:textId="77777777" w:rsidR="00144FC5" w:rsidRDefault="00144FC5" w:rsidP="00144FC5">
      <w:pPr>
        <w:shd w:val="clear" w:color="auto" w:fill="FFFFFF"/>
        <w:rPr>
          <w:rFonts w:ascii="Segoe UI" w:hAnsi="Segoe UI" w:cs="Segoe UI"/>
          <w:color w:val="212529"/>
          <w:sz w:val="23"/>
          <w:szCs w:val="23"/>
        </w:rPr>
      </w:pPr>
      <w:r>
        <w:rPr>
          <w:rFonts w:ascii="Segoe UI" w:hAnsi="Segoe UI"/>
          <w:color w:val="212529"/>
          <w:sz w:val="23"/>
        </w:rPr>
        <w:t>Fig. 1: Due to the reversal of the burden of proof, the injured person in a product liability case does not have to prove how the defect got into the product.</w:t>
      </w:r>
    </w:p>
    <w:p w14:paraId="666D1C98"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This is often referred to as the </w:t>
      </w:r>
      <w:r>
        <w:rPr>
          <w:rStyle w:val="Strong"/>
          <w:rFonts w:ascii="Open Sans" w:hAnsi="Open Sans"/>
          <w:color w:val="212529"/>
          <w:sz w:val="23"/>
        </w:rPr>
        <w:t>reversal of the burden of proof</w:t>
      </w:r>
      <w:r>
        <w:rPr>
          <w:rFonts w:ascii="Open Sans" w:hAnsi="Open Sans"/>
          <w:color w:val="212529"/>
          <w:sz w:val="23"/>
        </w:rPr>
        <w:t xml:space="preserve">, </w:t>
      </w:r>
      <w:r>
        <w:rPr>
          <w:rStyle w:val="Strong"/>
          <w:rFonts w:ascii="Open Sans" w:hAnsi="Open Sans"/>
          <w:color w:val="212529"/>
          <w:sz w:val="23"/>
        </w:rPr>
        <w:t>secondary burden of proof</w:t>
      </w:r>
      <w:r>
        <w:rPr>
          <w:rFonts w:ascii="Open Sans" w:hAnsi="Open Sans"/>
          <w:color w:val="212529"/>
          <w:sz w:val="23"/>
        </w:rPr>
        <w:t xml:space="preserve"> or </w:t>
      </w:r>
      <w:r>
        <w:rPr>
          <w:rStyle w:val="Strong"/>
          <w:rFonts w:ascii="Open Sans" w:hAnsi="Open Sans"/>
          <w:color w:val="212529"/>
          <w:sz w:val="23"/>
        </w:rPr>
        <w:t>relaxation of proof</w:t>
      </w:r>
      <w:r>
        <w:rPr>
          <w:rFonts w:ascii="Open Sans" w:hAnsi="Open Sans"/>
          <w:color w:val="212529"/>
          <w:sz w:val="23"/>
        </w:rPr>
        <w:t>. The reason for this relaxation is that the injured person is, as a general rule, not able to inspect the production processes. They, therefore, only have to prove the objectively defective state of the product.</w:t>
      </w:r>
    </w:p>
    <w:p w14:paraId="02EEE052"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manufacturer must then subjectively prove that it is not responsible for the fault. It does not have to provide what is known as full proof. (This means that the court does not need to be fully convinced.) It is enough if “under the circumstances it can be assumed” that the product was free of defects at the time it was placed on the market.</w:t>
      </w:r>
    </w:p>
    <w:p w14:paraId="212048E3"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b) Examples</w:t>
      </w:r>
    </w:p>
    <w:p w14:paraId="6E98EE8D" w14:textId="77777777" w:rsidR="00144FC5" w:rsidRDefault="00144FC5" w:rsidP="00144FC5">
      <w:pPr>
        <w:pStyle w:val="Heading4"/>
        <w:shd w:val="clear" w:color="auto" w:fill="FFFFFF"/>
        <w:spacing w:before="300" w:after="150"/>
        <w:rPr>
          <w:rFonts w:ascii="Open Sans" w:hAnsi="Open Sans" w:cs="Open Sans"/>
          <w:b w:val="0"/>
          <w:bCs w:val="0"/>
          <w:color w:val="212529"/>
          <w:sz w:val="24"/>
        </w:rPr>
      </w:pPr>
      <w:r>
        <w:rPr>
          <w:rFonts w:ascii="Open Sans" w:hAnsi="Open Sans"/>
          <w:b w:val="0"/>
          <w:color w:val="212529"/>
        </w:rPr>
        <w:t>Artificial hip</w:t>
      </w:r>
    </w:p>
    <w:p w14:paraId="7C049001"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Following a hip replacement, a fracture occurs just one year after implantation.</w:t>
      </w:r>
    </w:p>
    <w:p w14:paraId="56156F12"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As the prosthesis is a cast prosthesis, the injured party argues that the fracture was due to a casting error during production (e.g., the formation of a blowhole, which is a predetermined breaking point).</w:t>
      </w:r>
    </w:p>
    <w:p w14:paraId="0F52F75C"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In this case, the manufacturer must prove that there were no defects during the production of the specific prosthesis and that there was no casting error. In practice, this is proven with expert evidence, </w:t>
      </w:r>
      <w:proofErr w:type="gramStart"/>
      <w:r>
        <w:rPr>
          <w:rFonts w:ascii="Open Sans" w:hAnsi="Open Sans"/>
          <w:color w:val="212529"/>
          <w:sz w:val="23"/>
        </w:rPr>
        <w:t>i.e.</w:t>
      </w:r>
      <w:proofErr w:type="gramEnd"/>
      <w:r>
        <w:rPr>
          <w:rFonts w:ascii="Open Sans" w:hAnsi="Open Sans"/>
          <w:color w:val="212529"/>
          <w:sz w:val="23"/>
        </w:rPr>
        <w:t xml:space="preserve"> by submitting a technical opinion.</w:t>
      </w:r>
    </w:p>
    <w:p w14:paraId="7CE83486" w14:textId="77777777" w:rsidR="00144FC5" w:rsidRDefault="00144FC5" w:rsidP="00144FC5">
      <w:pPr>
        <w:pStyle w:val="Heading4"/>
        <w:shd w:val="clear" w:color="auto" w:fill="FFFFFF"/>
        <w:spacing w:before="600" w:after="150"/>
        <w:rPr>
          <w:rFonts w:ascii="Open Sans" w:hAnsi="Open Sans" w:cs="Open Sans"/>
          <w:b w:val="0"/>
          <w:bCs w:val="0"/>
          <w:color w:val="212529"/>
          <w:sz w:val="24"/>
        </w:rPr>
      </w:pPr>
      <w:r>
        <w:rPr>
          <w:rFonts w:ascii="Open Sans" w:hAnsi="Open Sans"/>
          <w:b w:val="0"/>
          <w:color w:val="212529"/>
        </w:rPr>
        <w:t>Electrocautery unit</w:t>
      </w:r>
    </w:p>
    <w:p w14:paraId="7333EA0B"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During an operation involving an electrocautery unit, the patient and surgeon suffer burns.</w:t>
      </w:r>
    </w:p>
    <w:p w14:paraId="29A6A175"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patient argues in the legal action that their burns were due to the inadequate electrical safety of the electrocautery unit.</w:t>
      </w:r>
    </w:p>
    <w:p w14:paraId="788CC9E9"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Therefore, the manufacturer must prove that its product functioned properly and that the state of the science and the art was complied with during production. It can also argue that there was an operator error (use error) and that, therefore, the surgeon is responsible for the injury to the patient.</w:t>
      </w:r>
    </w:p>
    <w:p w14:paraId="4C2AE9A1"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Expert opinion is again submitted as evidence in this case.</w:t>
      </w:r>
    </w:p>
    <w:p w14:paraId="2551943D"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c) Special features of medical devices</w:t>
      </w:r>
    </w:p>
    <w:p w14:paraId="45B0BE5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examples show that the product liability has special characteristics in the case of medical devices when compared to other products:</w:t>
      </w:r>
    </w:p>
    <w:p w14:paraId="28827203"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Medical devices are often used by physicians as well as patients, or medical devices only come into contact with patients with the involvement of a physician.</w:t>
      </w:r>
    </w:p>
    <w:p w14:paraId="2F5C9A3C" w14:textId="7E4C8A41"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In these cases, in addition to or instead of the product defect(s), there may be a physician error that causes (or contributes to) the damage. So, in the case of a hip replacement, it is also possible that the prosthesis was implanted </w:t>
      </w:r>
      <w:r w:rsidR="009730B4">
        <w:rPr>
          <w:rFonts w:ascii="Open Sans" w:hAnsi="Open Sans"/>
          <w:color w:val="212529"/>
          <w:sz w:val="23"/>
        </w:rPr>
        <w:t>incorrectly,</w:t>
      </w:r>
      <w:r>
        <w:rPr>
          <w:rFonts w:ascii="Open Sans" w:hAnsi="Open Sans"/>
          <w:color w:val="212529"/>
          <w:sz w:val="23"/>
        </w:rPr>
        <w:t xml:space="preserve"> and the fracture was due to this error by the physician. Differentiating between these alternative causes is a major challenge in practice.</w:t>
      </w:r>
    </w:p>
    <w:p w14:paraId="0E95ABAB"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5. Calculating the liability amount</w:t>
      </w:r>
    </w:p>
    <w:p w14:paraId="1EE7779F"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In the case of product defects, the liability amounts vary greatly from case to case. The amounts depend on the damage incurred and must always be calculated individually.</w:t>
      </w:r>
    </w:p>
    <w:p w14:paraId="30E4C097"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Compensation for pain and suffering</w:t>
      </w:r>
    </w:p>
    <w:p w14:paraId="52BD32AD"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In practice, damages are mainly intended as </w:t>
      </w:r>
      <w:r>
        <w:rPr>
          <w:rStyle w:val="Strong"/>
          <w:rFonts w:ascii="Open Sans" w:hAnsi="Open Sans"/>
          <w:color w:val="212529"/>
          <w:sz w:val="23"/>
        </w:rPr>
        <w:t>compensation for pain and suffering</w:t>
      </w:r>
      <w:r>
        <w:rPr>
          <w:rFonts w:ascii="Open Sans" w:hAnsi="Open Sans"/>
          <w:color w:val="212529"/>
          <w:sz w:val="23"/>
        </w:rPr>
        <w:t>. The value of compensation for pain and suffering is generally based on:</w:t>
      </w:r>
    </w:p>
    <w:p w14:paraId="3F4DFE2D" w14:textId="77777777" w:rsidR="00144FC5" w:rsidRDefault="00144FC5" w:rsidP="00144FC5">
      <w:pPr>
        <w:numPr>
          <w:ilvl w:val="0"/>
          <w:numId w:val="18"/>
        </w:numPr>
        <w:shd w:val="clear" w:color="auto" w:fill="FFFFFF"/>
        <w:spacing w:before="225" w:after="100" w:afterAutospacing="1" w:line="338" w:lineRule="atLeast"/>
        <w:rPr>
          <w:rFonts w:ascii="Open Sans" w:hAnsi="Open Sans" w:cs="Open Sans"/>
          <w:color w:val="212529"/>
          <w:sz w:val="24"/>
        </w:rPr>
      </w:pPr>
      <w:r>
        <w:rPr>
          <w:rFonts w:ascii="Open Sans" w:hAnsi="Open Sans"/>
          <w:color w:val="212529"/>
        </w:rPr>
        <w:t>The extent of the injuries (intensity of the pain, recovery time, etc.)</w:t>
      </w:r>
    </w:p>
    <w:p w14:paraId="2E1CCA55" w14:textId="77777777" w:rsidR="00144FC5" w:rsidRDefault="00144FC5" w:rsidP="00144FC5">
      <w:pPr>
        <w:numPr>
          <w:ilvl w:val="0"/>
          <w:numId w:val="18"/>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Possible consequential damages</w:t>
      </w:r>
    </w:p>
    <w:p w14:paraId="218AEB62" w14:textId="77777777" w:rsidR="00144FC5" w:rsidRDefault="00144FC5" w:rsidP="00144FC5">
      <w:pPr>
        <w:numPr>
          <w:ilvl w:val="0"/>
          <w:numId w:val="18"/>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Impairment of private or professional life</w:t>
      </w:r>
    </w:p>
    <w:p w14:paraId="6974D389" w14:textId="77777777" w:rsidR="00144FC5" w:rsidRDefault="00144FC5" w:rsidP="00144FC5">
      <w:pPr>
        <w:numPr>
          <w:ilvl w:val="0"/>
          <w:numId w:val="18"/>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Age of the injured person</w:t>
      </w:r>
    </w:p>
    <w:p w14:paraId="41E40CCE" w14:textId="77777777" w:rsidR="00144FC5" w:rsidRDefault="00144FC5" w:rsidP="00144FC5">
      <w:pPr>
        <w:numPr>
          <w:ilvl w:val="0"/>
          <w:numId w:val="18"/>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Level of guilt (degree of culpability, possible contributory negligence)</w:t>
      </w:r>
    </w:p>
    <w:p w14:paraId="64CC1319" w14:textId="77777777" w:rsidR="00144FC5" w:rsidRDefault="00144FC5" w:rsidP="00144FC5">
      <w:pPr>
        <w:numPr>
          <w:ilvl w:val="0"/>
          <w:numId w:val="18"/>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Economic situation of the parties involved (income, assets)</w:t>
      </w:r>
    </w:p>
    <w:p w14:paraId="0405A53D"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If there is permanent damage, higher compensation for pain and suffering must always be expected than in the case of temporary injuries.</w:t>
      </w:r>
    </w:p>
    <w:p w14:paraId="67A0D200"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Style w:val="Strong"/>
          <w:rFonts w:ascii="Open Sans" w:hAnsi="Open Sans"/>
          <w:color w:val="212529"/>
          <w:sz w:val="23"/>
        </w:rPr>
        <w:t>Death</w:t>
      </w:r>
      <w:r>
        <w:rPr>
          <w:rFonts w:ascii="Open Sans" w:hAnsi="Open Sans"/>
          <w:color w:val="212529"/>
          <w:sz w:val="23"/>
        </w:rPr>
        <w:t xml:space="preserve"> represents a great loss, but does not generally justify compensation for pain and suffering as this is primarily based on suffering. Only the costs of the attempted cure, property damage suffered, funeral expenses and maintenance costs are reimbursable.</w:t>
      </w:r>
    </w:p>
    <w:p w14:paraId="1FA536B9"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Close relatives (e.g., spouse, partner, parent or child) are also entitled to compensation for the mental suffering inflicted (known as </w:t>
      </w:r>
      <w:r>
        <w:rPr>
          <w:rStyle w:val="Strong"/>
          <w:rFonts w:ascii="Open Sans" w:hAnsi="Open Sans"/>
          <w:color w:val="212529"/>
          <w:sz w:val="23"/>
        </w:rPr>
        <w:t>shock damages</w:t>
      </w:r>
      <w:r>
        <w:rPr>
          <w:rFonts w:ascii="Open Sans" w:hAnsi="Open Sans"/>
          <w:color w:val="212529"/>
          <w:sz w:val="23"/>
        </w:rPr>
        <w:t>). In practice, however, this compensation for pain and suffering rarely exceeds €10,000.00.</w:t>
      </w:r>
    </w:p>
    <w:p w14:paraId="20312031"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b) Loss of earnings, household management</w:t>
      </w:r>
    </w:p>
    <w:p w14:paraId="17ACA822"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injured person is entitled to compensation for loss of earnings and for household management costs. This applies when a person is unable or only partially able to manage their (family) household due to the injury.</w:t>
      </w:r>
    </w:p>
    <w:p w14:paraId="55BAD9E5"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However, the damages are only justified if they are the result of a product defect. In this case, we talk about the </w:t>
      </w:r>
      <w:r>
        <w:rPr>
          <w:rStyle w:val="Strong"/>
          <w:rFonts w:ascii="Open Sans" w:hAnsi="Open Sans"/>
          <w:color w:val="212529"/>
          <w:sz w:val="23"/>
        </w:rPr>
        <w:t>contributing cause</w:t>
      </w:r>
      <w:r>
        <w:rPr>
          <w:rFonts w:ascii="Open Sans" w:hAnsi="Open Sans"/>
          <w:color w:val="212529"/>
          <w:sz w:val="23"/>
        </w:rPr>
        <w:t>.</w:t>
      </w:r>
    </w:p>
    <w:p w14:paraId="7C461335"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c) Differences with the USA</w:t>
      </w:r>
    </w:p>
    <w:p w14:paraId="275BE379"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In the USA, much higher damages are awarded than in Germany. This is due to the differences between the two legal systems.</w:t>
      </w:r>
    </w:p>
    <w:p w14:paraId="0B325F51"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In additional to the right to compensation for pain and suffering and damages, the US system also provides for </w:t>
      </w:r>
      <w:r>
        <w:rPr>
          <w:rStyle w:val="Strong"/>
          <w:rFonts w:ascii="Open Sans" w:hAnsi="Open Sans"/>
          <w:color w:val="212529"/>
          <w:sz w:val="23"/>
        </w:rPr>
        <w:t>punitive damages</w:t>
      </w:r>
      <w:r>
        <w:rPr>
          <w:rFonts w:ascii="Open Sans" w:hAnsi="Open Sans"/>
          <w:color w:val="212529"/>
          <w:sz w:val="23"/>
        </w:rPr>
        <w:t>, which are particularly high. German civil law, on the other hand, is based on a principle of compensation and does not pursue punitive or deterrent objectives. Criminal law aspects only play a role in criminal proceedings.</w:t>
      </w:r>
    </w:p>
    <w:p w14:paraId="267F6F68"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6. Tips</w:t>
      </w:r>
    </w:p>
    <w:p w14:paraId="01E1BF7A"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a) Tips for manufacturers</w:t>
      </w:r>
    </w:p>
    <w:p w14:paraId="4C7B64DD"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Style w:val="Strong"/>
          <w:rFonts w:ascii="Open Sans" w:hAnsi="Open Sans"/>
          <w:color w:val="212529"/>
          <w:sz w:val="23"/>
        </w:rPr>
        <w:t>MDR/IVDR-compliant development</w:t>
      </w:r>
      <w:r>
        <w:rPr>
          <w:rFonts w:ascii="Open Sans" w:hAnsi="Open Sans"/>
          <w:color w:val="212529"/>
          <w:sz w:val="23"/>
        </w:rPr>
        <w:t xml:space="preserve"> is essential to minimize liability risks. This concerns in particular:</w:t>
      </w:r>
    </w:p>
    <w:p w14:paraId="34D95F4F" w14:textId="77777777" w:rsidR="00144FC5" w:rsidRDefault="00144FC5" w:rsidP="00144FC5">
      <w:pPr>
        <w:numPr>
          <w:ilvl w:val="0"/>
          <w:numId w:val="19"/>
        </w:numPr>
        <w:shd w:val="clear" w:color="auto" w:fill="FFFFFF"/>
        <w:spacing w:before="225" w:after="100" w:afterAutospacing="1" w:line="338" w:lineRule="atLeast"/>
        <w:rPr>
          <w:rFonts w:ascii="Open Sans" w:hAnsi="Open Sans" w:cs="Open Sans"/>
          <w:color w:val="212529"/>
          <w:sz w:val="24"/>
        </w:rPr>
      </w:pPr>
      <w:r>
        <w:rPr>
          <w:rFonts w:ascii="Open Sans" w:hAnsi="Open Sans"/>
          <w:color w:val="212529"/>
        </w:rPr>
        <w:t>The device's compliance with the general safety and performance requirements</w:t>
      </w:r>
    </w:p>
    <w:p w14:paraId="122A2F32" w14:textId="77777777" w:rsidR="00144FC5" w:rsidRDefault="00144FC5" w:rsidP="00144FC5">
      <w:pPr>
        <w:numPr>
          <w:ilvl w:val="0"/>
          <w:numId w:val="19"/>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MDR/ISO-13485-compliant quality management system</w:t>
      </w:r>
    </w:p>
    <w:p w14:paraId="77614E4D" w14:textId="77777777" w:rsidR="00144FC5" w:rsidRDefault="00144FC5" w:rsidP="00144FC5">
      <w:pPr>
        <w:numPr>
          <w:ilvl w:val="0"/>
          <w:numId w:val="19"/>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Comprehensive risk management system</w:t>
      </w:r>
    </w:p>
    <w:p w14:paraId="6B05E891" w14:textId="77777777" w:rsidR="00144FC5" w:rsidRDefault="00144FC5" w:rsidP="00144FC5">
      <w:pPr>
        <w:numPr>
          <w:ilvl w:val="0"/>
          <w:numId w:val="19"/>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Clinical evaluation</w:t>
      </w:r>
    </w:p>
    <w:p w14:paraId="5CB7E19C" w14:textId="77777777" w:rsidR="00144FC5" w:rsidRDefault="00144FC5" w:rsidP="00144FC5">
      <w:pPr>
        <w:numPr>
          <w:ilvl w:val="0"/>
          <w:numId w:val="19"/>
        </w:numPr>
        <w:shd w:val="clear" w:color="auto" w:fill="FFFFFF"/>
        <w:spacing w:before="225" w:after="100" w:afterAutospacing="1" w:line="338" w:lineRule="atLeast"/>
        <w:rPr>
          <w:rFonts w:ascii="Open Sans" w:hAnsi="Open Sans" w:cs="Open Sans"/>
          <w:color w:val="212529"/>
        </w:rPr>
      </w:pPr>
      <w:r>
        <w:rPr>
          <w:rFonts w:ascii="Open Sans" w:hAnsi="Open Sans"/>
          <w:color w:val="212529"/>
        </w:rPr>
        <w:t xml:space="preserve">Systematic </w:t>
      </w:r>
      <w:hyperlink r:id="rId32" w:history="1">
        <w:r>
          <w:rPr>
            <w:rStyle w:val="Hyperlink"/>
            <w:rFonts w:ascii="Open Sans" w:hAnsi="Open Sans"/>
            <w:b/>
          </w:rPr>
          <w:t>post-market surveillance</w:t>
        </w:r>
      </w:hyperlink>
      <w:r>
        <w:rPr>
          <w:rFonts w:ascii="Open Sans" w:hAnsi="Open Sans"/>
          <w:color w:val="212529"/>
        </w:rPr>
        <w:t> (PMS) for each product</w:t>
      </w:r>
    </w:p>
    <w:p w14:paraId="1556FCE9"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As part of the post-market surveillance, manufacturers must </w:t>
      </w:r>
      <w:r>
        <w:rPr>
          <w:rStyle w:val="Strong"/>
          <w:rFonts w:ascii="Open Sans" w:hAnsi="Open Sans"/>
          <w:color w:val="212529"/>
          <w:sz w:val="23"/>
        </w:rPr>
        <w:t>assess</w:t>
      </w:r>
      <w:r>
        <w:rPr>
          <w:rFonts w:ascii="Open Sans" w:hAnsi="Open Sans"/>
          <w:color w:val="212529"/>
          <w:sz w:val="23"/>
        </w:rPr>
        <w:t xml:space="preserve"> all </w:t>
      </w:r>
      <w:r>
        <w:rPr>
          <w:rStyle w:val="Strong"/>
          <w:rFonts w:ascii="Open Sans" w:hAnsi="Open Sans"/>
          <w:color w:val="212529"/>
          <w:sz w:val="23"/>
        </w:rPr>
        <w:t>feedback</w:t>
      </w:r>
      <w:r>
        <w:rPr>
          <w:rFonts w:ascii="Open Sans" w:hAnsi="Open Sans"/>
          <w:color w:val="212529"/>
          <w:sz w:val="23"/>
        </w:rPr>
        <w:t xml:space="preserve"> on deviations in terms their severity and probability </w:t>
      </w:r>
      <w:r>
        <w:rPr>
          <w:rStyle w:val="Strong"/>
          <w:rFonts w:ascii="Open Sans" w:hAnsi="Open Sans"/>
          <w:color w:val="212529"/>
          <w:sz w:val="23"/>
        </w:rPr>
        <w:t>against the expected risks</w:t>
      </w:r>
      <w:r>
        <w:rPr>
          <w:rFonts w:ascii="Open Sans" w:hAnsi="Open Sans"/>
          <w:color w:val="212529"/>
          <w:sz w:val="23"/>
        </w:rPr>
        <w:t xml:space="preserve"> and document it accordingly in the risk report.</w:t>
      </w:r>
    </w:p>
    <w:p w14:paraId="453124F3"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Complete technical documentation that is regularly updated as part of the post-market surveillance (PMS) can make it easier to submit evidence in liability proceedings.</w:t>
      </w:r>
    </w:p>
    <w:p w14:paraId="096361DC" w14:textId="77777777" w:rsidR="00144FC5" w:rsidRDefault="00144FC5" w:rsidP="00144FC5">
      <w:pPr>
        <w:shd w:val="clear" w:color="auto" w:fill="EFEFEF"/>
        <w:rPr>
          <w:rFonts w:ascii="Segoe UI" w:hAnsi="Segoe UI" w:cs="Segoe UI"/>
          <w:b/>
          <w:bCs/>
          <w:color w:val="212529"/>
          <w:sz w:val="23"/>
          <w:szCs w:val="23"/>
        </w:rPr>
      </w:pPr>
      <w:r>
        <w:rPr>
          <w:rFonts w:ascii="Segoe UI" w:hAnsi="Segoe UI"/>
          <w:b/>
          <w:color w:val="212529"/>
          <w:sz w:val="23"/>
        </w:rPr>
        <w:t> Tip</w:t>
      </w:r>
    </w:p>
    <w:p w14:paraId="44ADF7C2" w14:textId="77777777" w:rsidR="00144FC5" w:rsidRDefault="00144FC5" w:rsidP="00144FC5">
      <w:pPr>
        <w:pStyle w:val="NormalWeb"/>
        <w:shd w:val="clear" w:color="auto" w:fill="EFEFE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scope of the data and information that manufacturers need to collect and evaluate in the context of post-market surveillance is constantly increasing. Therefore, it is advisable to automate these activities as far as possible, as, for example, the </w:t>
      </w:r>
      <w:hyperlink r:id="rId33" w:history="1">
        <w:r>
          <w:rPr>
            <w:rStyle w:val="Hyperlink"/>
            <w:rFonts w:ascii="Open Sans" w:hAnsi="Open Sans"/>
            <w:b/>
            <w:sz w:val="23"/>
          </w:rPr>
          <w:t>post-market radar</w:t>
        </w:r>
      </w:hyperlink>
      <w:r>
        <w:rPr>
          <w:rFonts w:ascii="Open Sans" w:hAnsi="Open Sans"/>
          <w:color w:val="212529"/>
          <w:sz w:val="23"/>
        </w:rPr>
        <w:t xml:space="preserve"> does.</w:t>
      </w:r>
    </w:p>
    <w:p w14:paraId="6106A837"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In addition, manufacturers also have to strictly comply with the </w:t>
      </w:r>
      <w:r>
        <w:rPr>
          <w:rStyle w:val="Strong"/>
          <w:rFonts w:ascii="Open Sans" w:hAnsi="Open Sans"/>
          <w:color w:val="212529"/>
          <w:sz w:val="23"/>
        </w:rPr>
        <w:t>notification requirements of the MPSV</w:t>
      </w:r>
      <w:r>
        <w:rPr>
          <w:rFonts w:ascii="Open Sans" w:hAnsi="Open Sans"/>
          <w:color w:val="212529"/>
          <w:sz w:val="23"/>
        </w:rPr>
        <w:t>.</w:t>
      </w:r>
    </w:p>
    <w:p w14:paraId="57701E8B"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It is advisable to take out </w:t>
      </w:r>
      <w:r>
        <w:rPr>
          <w:rStyle w:val="Strong"/>
          <w:rFonts w:ascii="Open Sans" w:hAnsi="Open Sans"/>
          <w:color w:val="212529"/>
          <w:sz w:val="23"/>
        </w:rPr>
        <w:t>insurance</w:t>
      </w:r>
      <w:r>
        <w:rPr>
          <w:rFonts w:ascii="Open Sans" w:hAnsi="Open Sans"/>
          <w:color w:val="212529"/>
          <w:sz w:val="23"/>
        </w:rPr>
        <w:t xml:space="preserve"> (if necessary, with reference to the relevant requirement in the MDR), even if not every risk is insurable. Insurance companies that specialize in medical law can advise the manufacturer on the right tariff.</w:t>
      </w:r>
    </w:p>
    <w:p w14:paraId="0350AF2A"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In the event of a liability case, manufacturers should seek </w:t>
      </w:r>
      <w:r>
        <w:rPr>
          <w:rStyle w:val="Strong"/>
          <w:rFonts w:ascii="Open Sans" w:hAnsi="Open Sans"/>
          <w:color w:val="212529"/>
          <w:sz w:val="23"/>
        </w:rPr>
        <w:t>professional legal assistance</w:t>
      </w:r>
      <w:r>
        <w:rPr>
          <w:rFonts w:ascii="Open Sans" w:hAnsi="Open Sans"/>
          <w:color w:val="212529"/>
          <w:sz w:val="23"/>
        </w:rPr>
        <w:t>. They should make sure that the legal advisor is appropriately specialized and has litigation experience.</w:t>
      </w:r>
    </w:p>
    <w:p w14:paraId="495C8A9D"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process often also depends on the expert, whose opinion the lawyers will examine in detail; or they may have to use another expert for counterevidence. It is often not easy to find an expert to provide an opinion for specific product defects.</w:t>
      </w:r>
    </w:p>
    <w:p w14:paraId="7E3E9741"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b) Tips for distributors</w:t>
      </w:r>
    </w:p>
    <w:p w14:paraId="423D90E0"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Suppliers or distributors should pay attention to the MDR/IVDR obligations, particularly the obligations relating to labeling, to ensure that they do not become liable as a “quasi-manufacturer” due to incorrect labeling.</w:t>
      </w:r>
    </w:p>
    <w:p w14:paraId="4EEBA961" w14:textId="6240C2E0"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 xml:space="preserve">The labeling obligations can be found in </w:t>
      </w:r>
      <w:hyperlink r:id="rId34" w:anchor="artikel-14" w:tgtFrame="_blank" w:history="1">
        <w:r>
          <w:rPr>
            <w:rStyle w:val="Hyperlink"/>
            <w:rFonts w:ascii="Open Sans" w:hAnsi="Open Sans"/>
            <w:b/>
            <w:sz w:val="23"/>
          </w:rPr>
          <w:t>Article 14 of the MDR</w:t>
        </w:r>
      </w:hyperlink>
      <w:r>
        <w:rPr>
          <w:rFonts w:ascii="Open Sans" w:hAnsi="Open Sans"/>
          <w:color w:val="212529"/>
          <w:sz w:val="23"/>
        </w:rPr>
        <w:t xml:space="preserve"> paragraph 2 with reference to</w:t>
      </w:r>
      <w:r w:rsidR="009730B4">
        <w:rPr>
          <w:rFonts w:ascii="Open Sans" w:hAnsi="Open Sans"/>
          <w:color w:val="212529"/>
          <w:sz w:val="23"/>
        </w:rPr>
        <w:t xml:space="preserve"> </w:t>
      </w:r>
      <w:hyperlink r:id="rId35" w:anchor="artikel-10" w:tgtFrame="_blank" w:history="1">
        <w:r>
          <w:rPr>
            <w:rStyle w:val="Hyperlink"/>
            <w:rFonts w:ascii="Open Sans" w:hAnsi="Open Sans"/>
            <w:b/>
            <w:sz w:val="23"/>
          </w:rPr>
          <w:t>Article 10</w:t>
        </w:r>
      </w:hyperlink>
      <w:r>
        <w:rPr>
          <w:rFonts w:ascii="Open Sans" w:hAnsi="Open Sans"/>
          <w:color w:val="212529"/>
          <w:sz w:val="23"/>
        </w:rPr>
        <w:t xml:space="preserve"> paragraph 11, which in turn refers to the details in </w:t>
      </w:r>
      <w:hyperlink r:id="rId36" w:anchor="annex-%20I" w:tgtFrame="_blank" w:history="1">
        <w:r>
          <w:rPr>
            <w:rStyle w:val="Hyperlink"/>
            <w:rFonts w:ascii="Open Sans" w:hAnsi="Open Sans"/>
            <w:b/>
            <w:sz w:val="23"/>
          </w:rPr>
          <w:t>Annex I</w:t>
        </w:r>
      </w:hyperlink>
      <w:r>
        <w:rPr>
          <w:rFonts w:ascii="Open Sans" w:hAnsi="Open Sans"/>
          <w:color w:val="212529"/>
          <w:sz w:val="23"/>
        </w:rPr>
        <w:t xml:space="preserve"> paragraph 23.</w:t>
      </w:r>
    </w:p>
    <w:p w14:paraId="41CDDD6F" w14:textId="7C54F4D0"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If it</w:t>
      </w:r>
      <w:r w:rsidR="009730B4">
        <w:rPr>
          <w:rFonts w:ascii="Open Sans" w:hAnsi="Open Sans"/>
          <w:color w:val="212529"/>
          <w:sz w:val="23"/>
        </w:rPr>
        <w:t xml:space="preserve"> is</w:t>
      </w:r>
      <w:r>
        <w:rPr>
          <w:rFonts w:ascii="Open Sans" w:hAnsi="Open Sans"/>
          <w:color w:val="212529"/>
          <w:sz w:val="23"/>
        </w:rPr>
        <w:t xml:space="preserve"> not clear from the labeling who the manufacturer of the medical device is, the injured person may request the supplier to name the manufacturer. This request should be complied with within one month, otherwise compensation can be claimed from supplier as the manufacturer under the Produkthaftungsgesetz (Section 4(3) ProdHaftG).</w:t>
      </w:r>
    </w:p>
    <w:p w14:paraId="11B4B415" w14:textId="77777777" w:rsidR="00144FC5" w:rsidRDefault="00144FC5" w:rsidP="00144FC5">
      <w:pPr>
        <w:pStyle w:val="Heading3"/>
        <w:shd w:val="clear" w:color="auto" w:fill="FFFFFF"/>
        <w:spacing w:line="450" w:lineRule="atLeast"/>
        <w:rPr>
          <w:rFonts w:ascii="Open Sans" w:hAnsi="Open Sans" w:cs="Open Sans"/>
          <w:color w:val="212529"/>
          <w:sz w:val="33"/>
          <w:szCs w:val="33"/>
        </w:rPr>
      </w:pPr>
      <w:r>
        <w:rPr>
          <w:rFonts w:ascii="Open Sans" w:hAnsi="Open Sans"/>
          <w:color w:val="212529"/>
          <w:sz w:val="33"/>
        </w:rPr>
        <w:t>c) Tips for patients</w:t>
      </w:r>
    </w:p>
    <w:p w14:paraId="5C6D4B6A"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If a patient is harmed due to a medical device defect, it is important they keep good records of the treatment and recovery process and any harm that may have occurred.</w:t>
      </w:r>
    </w:p>
    <w:p w14:paraId="67F30DC7"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patient should also consult a lawyer who specializes in medical device malpractice. Only an experienced specialist can assess whether a claim has to be submitted against a physician or hospital, or whether they should be notified of the claim.</w:t>
      </w:r>
    </w:p>
    <w:p w14:paraId="72647730" w14:textId="77777777" w:rsidR="00144FC5" w:rsidRDefault="00144FC5" w:rsidP="00144FC5">
      <w:pPr>
        <w:pStyle w:val="Heading2"/>
        <w:shd w:val="clear" w:color="auto" w:fill="FFFFFF"/>
        <w:spacing w:line="570" w:lineRule="atLeast"/>
        <w:rPr>
          <w:rFonts w:ascii="Open Sans" w:hAnsi="Open Sans" w:cs="Open Sans"/>
          <w:b w:val="0"/>
          <w:bCs w:val="0"/>
          <w:color w:val="212529"/>
          <w:sz w:val="42"/>
          <w:szCs w:val="42"/>
        </w:rPr>
      </w:pPr>
      <w:r>
        <w:rPr>
          <w:rFonts w:ascii="Open Sans" w:hAnsi="Open Sans"/>
          <w:b w:val="0"/>
          <w:color w:val="212529"/>
          <w:sz w:val="42"/>
        </w:rPr>
        <w:t>7. Conclusion, summary</w:t>
      </w:r>
    </w:p>
    <w:p w14:paraId="133D5BDC"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Product liability plays a major role in legal practice and should not be underestimated by medical device manufacturers and other economic operators such as importers and suppliers.</w:t>
      </w:r>
    </w:p>
    <w:p w14:paraId="33F9BE4C"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Good documentation of the company's internal processes, particularly the manufacturing and post-market surveillance (PMS) processes, the risk management files and the QM system documentation can play a critical role in liability cases.</w:t>
      </w:r>
    </w:p>
    <w:p w14:paraId="0F062601"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sz w:val="23"/>
        </w:rPr>
        <w:t>The technical documentation of a medical device should also always be complete, correct and kept up to date.</w:t>
      </w:r>
    </w:p>
    <w:p w14:paraId="79ECB745" w14:textId="77777777" w:rsidR="00144FC5" w:rsidRDefault="00527766" w:rsidP="00144FC5">
      <w:pPr>
        <w:shd w:val="clear" w:color="auto" w:fill="FFFFFF"/>
        <w:rPr>
          <w:rFonts w:ascii="Segoe UI" w:hAnsi="Segoe UI" w:cs="Segoe UI"/>
          <w:color w:val="212529"/>
          <w:sz w:val="23"/>
          <w:szCs w:val="23"/>
        </w:rPr>
      </w:pPr>
      <w:r>
        <w:rPr>
          <w:rFonts w:ascii="Segoe UI" w:hAnsi="Segoe UI"/>
          <w:color w:val="212529"/>
          <w:sz w:val="23"/>
        </w:rPr>
        <w:pict w14:anchorId="74CF9F9E">
          <v:rect id="_x0000_i1025" alt="" style="width:453.15pt;height:.05pt;mso-width-percent:0;mso-height-percent:0;mso-width-percent:0;mso-height-percent:0" o:hrpct="999" o:hralign="center" o:hrstd="t" o:hr="t" fillcolor="#a0a0a0" stroked="f"/>
        </w:pict>
      </w:r>
    </w:p>
    <w:p w14:paraId="093FDA24" w14:textId="77777777" w:rsidR="00144FC5" w:rsidRDefault="00144FC5" w:rsidP="00144FC5">
      <w:pPr>
        <w:pStyle w:val="NormalWeb"/>
        <w:shd w:val="clear" w:color="auto" w:fill="FFFFFF"/>
        <w:spacing w:before="225" w:beforeAutospacing="0" w:line="338" w:lineRule="atLeast"/>
        <w:rPr>
          <w:rFonts w:ascii="Open Sans" w:hAnsi="Open Sans" w:cs="Open Sans"/>
          <w:color w:val="212529"/>
          <w:sz w:val="23"/>
          <w:szCs w:val="23"/>
        </w:rPr>
      </w:pPr>
      <w:r>
        <w:rPr>
          <w:rFonts w:ascii="Open Sans" w:hAnsi="Open Sans"/>
          <w:color w:val="212529"/>
        </w:rPr>
        <w:t xml:space="preserve">If you need help bringing your procedures and records up-to-date and minimizing the risk of a liability claim, you can contact the Johner Institute (e.g., via the </w:t>
      </w:r>
      <w:hyperlink r:id="rId37" w:history="1">
        <w:r>
          <w:rPr>
            <w:rStyle w:val="Hyperlink"/>
            <w:rFonts w:ascii="Open Sans" w:hAnsi="Open Sans"/>
            <w:b/>
          </w:rPr>
          <w:t>contact form</w:t>
        </w:r>
      </w:hyperlink>
      <w:r>
        <w:rPr>
          <w:rFonts w:ascii="Open Sans" w:hAnsi="Open Sans"/>
          <w:color w:val="212529"/>
        </w:rPr>
        <w:t xml:space="preserve">). If you need help with a legal dispute, the </w:t>
      </w:r>
      <w:hyperlink r:id="rId38" w:history="1">
        <w:r>
          <w:rPr>
            <w:rStyle w:val="Hyperlink"/>
            <w:rFonts w:ascii="Open Sans" w:hAnsi="Open Sans"/>
            <w:b/>
          </w:rPr>
          <w:t>specialist lawyer Sonia Seubert</w:t>
        </w:r>
      </w:hyperlink>
      <w:r>
        <w:rPr>
          <w:rFonts w:ascii="Open Sans" w:hAnsi="Open Sans"/>
          <w:color w:val="212529"/>
        </w:rPr>
        <w:t xml:space="preserve"> will be happy to help you.</w:t>
      </w:r>
    </w:p>
    <w:p w14:paraId="71A04528" w14:textId="77777777" w:rsidR="00161645" w:rsidRPr="00144FC5" w:rsidRDefault="00161645" w:rsidP="00144FC5"/>
    <w:sectPr w:rsidR="00161645" w:rsidRPr="00144FC5" w:rsidSect="009459F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5EBA1EF0" w14:textId="77777777" w:rsidR="000E192F" w:rsidRDefault="009730B4">
      <w:pPr>
        <w:pStyle w:val="CommentText"/>
      </w:pPr>
      <w:r>
        <w:rPr>
          <w:rStyle w:val="CommentReference"/>
        </w:rPr>
        <w:annotationRef/>
      </w:r>
      <w:r>
        <w:t>I think the source is missing the "not"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BA1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A1EF0" w16cid:durableId="23CFB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59647" w14:textId="77777777" w:rsidR="00527766" w:rsidRDefault="00527766" w:rsidP="00527766">
      <w:pPr>
        <w:spacing w:after="0" w:line="240" w:lineRule="auto"/>
      </w:pPr>
      <w:r>
        <w:separator/>
      </w:r>
    </w:p>
  </w:endnote>
  <w:endnote w:type="continuationSeparator" w:id="0">
    <w:p w14:paraId="082E64BC" w14:textId="77777777" w:rsidR="00527766" w:rsidRDefault="00527766" w:rsidP="0052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CA3CC" w14:textId="77777777" w:rsidR="00527766" w:rsidRDefault="00527766" w:rsidP="00527766">
      <w:pPr>
        <w:spacing w:after="0" w:line="240" w:lineRule="auto"/>
      </w:pPr>
      <w:r>
        <w:separator/>
      </w:r>
    </w:p>
  </w:footnote>
  <w:footnote w:type="continuationSeparator" w:id="0">
    <w:p w14:paraId="3F03AED8" w14:textId="77777777" w:rsidR="00527766" w:rsidRDefault="00527766" w:rsidP="00527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344E"/>
    <w:multiLevelType w:val="multilevel"/>
    <w:tmpl w:val="C76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4EC9"/>
    <w:multiLevelType w:val="multilevel"/>
    <w:tmpl w:val="5530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6C30"/>
    <w:multiLevelType w:val="multilevel"/>
    <w:tmpl w:val="9BB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31EA1"/>
    <w:multiLevelType w:val="multilevel"/>
    <w:tmpl w:val="6D1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D6432"/>
    <w:multiLevelType w:val="multilevel"/>
    <w:tmpl w:val="3D1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5B01"/>
    <w:multiLevelType w:val="multilevel"/>
    <w:tmpl w:val="0C6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F32FE"/>
    <w:multiLevelType w:val="hybridMultilevel"/>
    <w:tmpl w:val="D430B410"/>
    <w:lvl w:ilvl="0" w:tplc="4E7A1242">
      <w:start w:val="1"/>
      <w:numFmt w:val="bullet"/>
      <w:pStyle w:val="ListParagraph"/>
      <w:lvlText w:val=""/>
      <w:lvlJc w:val="left"/>
      <w:pPr>
        <w:ind w:left="360" w:hanging="360"/>
      </w:pPr>
      <w:rPr>
        <w:rFonts w:ascii="Wingdings" w:hAnsi="Wingdings" w:hint="default"/>
        <w:color w:val="CC0000"/>
      </w:rPr>
    </w:lvl>
    <w:lvl w:ilvl="1" w:tplc="04070003" w:tentative="1">
      <w:start w:val="1"/>
      <w:numFmt w:val="bullet"/>
      <w:lvlText w:val="o"/>
      <w:lvlJc w:val="left"/>
      <w:pPr>
        <w:ind w:left="360" w:hanging="360"/>
      </w:pPr>
      <w:rPr>
        <w:rFonts w:ascii="Courier New" w:hAnsi="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7" w15:restartNumberingAfterBreak="0">
    <w:nsid w:val="3D3843B1"/>
    <w:multiLevelType w:val="multilevel"/>
    <w:tmpl w:val="250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90FC4"/>
    <w:multiLevelType w:val="multilevel"/>
    <w:tmpl w:val="E8E0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E241B"/>
    <w:multiLevelType w:val="multilevel"/>
    <w:tmpl w:val="D39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C2FDB"/>
    <w:multiLevelType w:val="multilevel"/>
    <w:tmpl w:val="3D0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256CE"/>
    <w:multiLevelType w:val="multilevel"/>
    <w:tmpl w:val="C152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030C9"/>
    <w:multiLevelType w:val="multilevel"/>
    <w:tmpl w:val="B33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465CE"/>
    <w:multiLevelType w:val="multilevel"/>
    <w:tmpl w:val="B538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10987"/>
    <w:multiLevelType w:val="multilevel"/>
    <w:tmpl w:val="776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D2402"/>
    <w:multiLevelType w:val="multilevel"/>
    <w:tmpl w:val="425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D564F"/>
    <w:multiLevelType w:val="multilevel"/>
    <w:tmpl w:val="A08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A3575"/>
    <w:multiLevelType w:val="multilevel"/>
    <w:tmpl w:val="1DA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02BCD"/>
    <w:multiLevelType w:val="multilevel"/>
    <w:tmpl w:val="4B7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17"/>
    <w:rsid w:val="00012EB2"/>
    <w:rsid w:val="000E192F"/>
    <w:rsid w:val="00144FC5"/>
    <w:rsid w:val="00161645"/>
    <w:rsid w:val="00283664"/>
    <w:rsid w:val="00334632"/>
    <w:rsid w:val="003E40D8"/>
    <w:rsid w:val="00527766"/>
    <w:rsid w:val="005620A0"/>
    <w:rsid w:val="005B6732"/>
    <w:rsid w:val="005B7A43"/>
    <w:rsid w:val="00637C69"/>
    <w:rsid w:val="00661417"/>
    <w:rsid w:val="007869F4"/>
    <w:rsid w:val="007E0DA4"/>
    <w:rsid w:val="00845D41"/>
    <w:rsid w:val="0086236F"/>
    <w:rsid w:val="008B52F4"/>
    <w:rsid w:val="0091690B"/>
    <w:rsid w:val="009459F8"/>
    <w:rsid w:val="009730B4"/>
    <w:rsid w:val="00B47181"/>
    <w:rsid w:val="00D91882"/>
    <w:rsid w:val="00DE6F2C"/>
    <w:rsid w:val="00EE6EC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36F7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1645"/>
    <w:pPr>
      <w:spacing w:after="120" w:line="280" w:lineRule="atLeast"/>
    </w:pPr>
    <w:rPr>
      <w:color w:val="000000" w:themeColor="text1"/>
      <w:sz w:val="22"/>
    </w:rPr>
  </w:style>
  <w:style w:type="paragraph" w:styleId="Heading1">
    <w:name w:val="heading 1"/>
    <w:basedOn w:val="Normal"/>
    <w:next w:val="Normal"/>
    <w:link w:val="Heading1Char"/>
    <w:uiPriority w:val="9"/>
    <w:qFormat/>
    <w:rsid w:val="00B47181"/>
    <w:pPr>
      <w:keepNext/>
      <w:keepLines/>
      <w:spacing w:before="480"/>
      <w:outlineLvl w:val="0"/>
    </w:pPr>
    <w:rPr>
      <w:rFonts w:asciiTheme="majorHAnsi" w:eastAsiaTheme="majorEastAsia" w:hAnsiTheme="majorHAnsi" w:cstheme="majorBidi"/>
      <w:b/>
      <w:bCs/>
      <w:color w:val="CC0000"/>
      <w:sz w:val="32"/>
      <w:szCs w:val="32"/>
    </w:rPr>
  </w:style>
  <w:style w:type="paragraph" w:styleId="Heading2">
    <w:name w:val="heading 2"/>
    <w:basedOn w:val="Normal"/>
    <w:next w:val="Normal"/>
    <w:link w:val="Heading2Char"/>
    <w:uiPriority w:val="9"/>
    <w:unhideWhenUsed/>
    <w:qFormat/>
    <w:rsid w:val="00B47181"/>
    <w:pPr>
      <w:keepNext/>
      <w:keepLines/>
      <w:spacing w:before="200"/>
      <w:outlineLvl w:val="1"/>
    </w:pPr>
    <w:rPr>
      <w:rFonts w:asciiTheme="majorHAnsi" w:eastAsiaTheme="majorEastAsia" w:hAnsiTheme="majorHAnsi" w:cstheme="majorBidi"/>
      <w:b/>
      <w:bCs/>
      <w:color w:val="CC0000"/>
      <w:sz w:val="26"/>
      <w:szCs w:val="26"/>
    </w:rPr>
  </w:style>
  <w:style w:type="paragraph" w:styleId="Heading3">
    <w:name w:val="heading 3"/>
    <w:basedOn w:val="Normal"/>
    <w:next w:val="Normal"/>
    <w:link w:val="Heading3Char"/>
    <w:uiPriority w:val="9"/>
    <w:unhideWhenUsed/>
    <w:qFormat/>
    <w:rsid w:val="00B47181"/>
    <w:pPr>
      <w:keepNext/>
      <w:keepLines/>
      <w:spacing w:before="200"/>
      <w:outlineLvl w:val="2"/>
    </w:pPr>
    <w:rPr>
      <w:rFonts w:asciiTheme="majorHAnsi" w:eastAsiaTheme="majorEastAsia" w:hAnsiTheme="majorHAnsi" w:cstheme="majorBidi"/>
      <w:b/>
      <w:bCs/>
      <w:color w:val="CC0000"/>
    </w:rPr>
  </w:style>
  <w:style w:type="paragraph" w:styleId="Heading4">
    <w:name w:val="heading 4"/>
    <w:basedOn w:val="Normal"/>
    <w:next w:val="Normal"/>
    <w:link w:val="Heading4Char"/>
    <w:uiPriority w:val="9"/>
    <w:unhideWhenUsed/>
    <w:qFormat/>
    <w:rsid w:val="00B47181"/>
    <w:pPr>
      <w:keepNext/>
      <w:keepLines/>
      <w:spacing w:before="200"/>
      <w:outlineLvl w:val="3"/>
    </w:pPr>
    <w:rPr>
      <w:rFonts w:asciiTheme="majorHAnsi" w:eastAsiaTheme="majorEastAsia" w:hAnsiTheme="majorHAnsi" w:cstheme="majorBidi"/>
      <w:b/>
      <w:bCs/>
      <w:i/>
      <w:iCs/>
      <w:color w:val="C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632"/>
    <w:pPr>
      <w:pBdr>
        <w:bottom w:val="single" w:sz="8" w:space="4" w:color="CC0000"/>
      </w:pBdr>
      <w:spacing w:after="300"/>
      <w:contextualSpacing/>
    </w:pPr>
    <w:rPr>
      <w:rFonts w:asciiTheme="majorHAnsi" w:eastAsiaTheme="majorEastAsia" w:hAnsiTheme="majorHAnsi" w:cstheme="majorBidi"/>
      <w:color w:val="CC0000"/>
      <w:spacing w:val="5"/>
      <w:kern w:val="28"/>
      <w:sz w:val="52"/>
      <w:szCs w:val="52"/>
    </w:rPr>
  </w:style>
  <w:style w:type="character" w:customStyle="1" w:styleId="TitleChar">
    <w:name w:val="Title Char"/>
    <w:basedOn w:val="DefaultParagraphFont"/>
    <w:link w:val="Title"/>
    <w:uiPriority w:val="10"/>
    <w:rsid w:val="00334632"/>
    <w:rPr>
      <w:rFonts w:asciiTheme="majorHAnsi" w:eastAsiaTheme="majorEastAsia" w:hAnsiTheme="majorHAnsi" w:cstheme="majorBidi"/>
      <w:color w:val="CC0000"/>
      <w:spacing w:val="5"/>
      <w:kern w:val="28"/>
      <w:sz w:val="52"/>
      <w:szCs w:val="52"/>
    </w:rPr>
  </w:style>
  <w:style w:type="character" w:customStyle="1" w:styleId="Heading1Char">
    <w:name w:val="Heading 1 Char"/>
    <w:basedOn w:val="DefaultParagraphFont"/>
    <w:link w:val="Heading1"/>
    <w:uiPriority w:val="9"/>
    <w:rsid w:val="00B47181"/>
    <w:rPr>
      <w:rFonts w:asciiTheme="majorHAnsi" w:eastAsiaTheme="majorEastAsia" w:hAnsiTheme="majorHAnsi" w:cstheme="majorBidi"/>
      <w:b/>
      <w:bCs/>
      <w:color w:val="CC0000"/>
      <w:sz w:val="32"/>
      <w:szCs w:val="32"/>
    </w:rPr>
  </w:style>
  <w:style w:type="character" w:customStyle="1" w:styleId="Heading2Char">
    <w:name w:val="Heading 2 Char"/>
    <w:basedOn w:val="DefaultParagraphFont"/>
    <w:link w:val="Heading2"/>
    <w:uiPriority w:val="9"/>
    <w:rsid w:val="00B47181"/>
    <w:rPr>
      <w:rFonts w:asciiTheme="majorHAnsi" w:eastAsiaTheme="majorEastAsia" w:hAnsiTheme="majorHAnsi" w:cstheme="majorBidi"/>
      <w:b/>
      <w:bCs/>
      <w:color w:val="CC0000"/>
      <w:sz w:val="26"/>
      <w:szCs w:val="26"/>
    </w:rPr>
  </w:style>
  <w:style w:type="character" w:customStyle="1" w:styleId="Heading3Char">
    <w:name w:val="Heading 3 Char"/>
    <w:basedOn w:val="DefaultParagraphFont"/>
    <w:link w:val="Heading3"/>
    <w:uiPriority w:val="9"/>
    <w:rsid w:val="00B47181"/>
    <w:rPr>
      <w:rFonts w:asciiTheme="majorHAnsi" w:eastAsiaTheme="majorEastAsia" w:hAnsiTheme="majorHAnsi" w:cstheme="majorBidi"/>
      <w:b/>
      <w:bCs/>
      <w:color w:val="CC0000"/>
    </w:rPr>
  </w:style>
  <w:style w:type="character" w:customStyle="1" w:styleId="Heading4Char">
    <w:name w:val="Heading 4 Char"/>
    <w:basedOn w:val="DefaultParagraphFont"/>
    <w:link w:val="Heading4"/>
    <w:uiPriority w:val="9"/>
    <w:rsid w:val="00B47181"/>
    <w:rPr>
      <w:rFonts w:asciiTheme="majorHAnsi" w:eastAsiaTheme="majorEastAsia" w:hAnsiTheme="majorHAnsi" w:cstheme="majorBidi"/>
      <w:b/>
      <w:bCs/>
      <w:i/>
      <w:iCs/>
      <w:color w:val="CC0000"/>
    </w:rPr>
  </w:style>
  <w:style w:type="paragraph" w:styleId="ListParagraph">
    <w:name w:val="List Paragraph"/>
    <w:basedOn w:val="Normal"/>
    <w:uiPriority w:val="34"/>
    <w:qFormat/>
    <w:rsid w:val="00283664"/>
    <w:pPr>
      <w:numPr>
        <w:numId w:val="1"/>
      </w:numPr>
      <w:contextualSpacing/>
    </w:pPr>
  </w:style>
  <w:style w:type="paragraph" w:styleId="Subtitle">
    <w:name w:val="Subtitle"/>
    <w:basedOn w:val="Normal"/>
    <w:next w:val="Normal"/>
    <w:link w:val="SubtitleChar"/>
    <w:uiPriority w:val="11"/>
    <w:qFormat/>
    <w:rsid w:val="00D91882"/>
    <w:pPr>
      <w:numPr>
        <w:ilvl w:val="1"/>
      </w:numPr>
      <w:spacing w:after="240"/>
    </w:pPr>
    <w:rPr>
      <w:rFonts w:asciiTheme="majorHAnsi" w:eastAsiaTheme="majorEastAsia" w:hAnsiTheme="majorHAnsi" w:cstheme="majorBidi"/>
      <w:i/>
      <w:iCs/>
      <w:color w:val="7F7F7F" w:themeColor="text1" w:themeTint="80"/>
      <w:spacing w:val="15"/>
    </w:rPr>
  </w:style>
  <w:style w:type="character" w:customStyle="1" w:styleId="SubtitleChar">
    <w:name w:val="Subtitle Char"/>
    <w:basedOn w:val="DefaultParagraphFont"/>
    <w:link w:val="Subtitle"/>
    <w:uiPriority w:val="11"/>
    <w:rsid w:val="00D91882"/>
    <w:rPr>
      <w:rFonts w:asciiTheme="majorHAnsi" w:eastAsiaTheme="majorEastAsia" w:hAnsiTheme="majorHAnsi" w:cstheme="majorBidi"/>
      <w:i/>
      <w:iCs/>
      <w:color w:val="7F7F7F" w:themeColor="text1" w:themeTint="80"/>
      <w:spacing w:val="15"/>
      <w:sz w:val="22"/>
    </w:rPr>
  </w:style>
  <w:style w:type="character" w:styleId="SubtleEmphasis">
    <w:name w:val="Subtle Emphasis"/>
    <w:basedOn w:val="DefaultParagraphFont"/>
    <w:uiPriority w:val="19"/>
    <w:rsid w:val="008B52F4"/>
    <w:rPr>
      <w:i/>
      <w:iCs/>
      <w:color w:val="808080" w:themeColor="text1" w:themeTint="7F"/>
    </w:rPr>
  </w:style>
  <w:style w:type="paragraph" w:styleId="NoSpacing">
    <w:name w:val="No Spacing"/>
    <w:uiPriority w:val="1"/>
    <w:qFormat/>
    <w:rsid w:val="008B52F4"/>
    <w:rPr>
      <w:sz w:val="22"/>
    </w:rPr>
  </w:style>
  <w:style w:type="paragraph" w:styleId="Quote">
    <w:name w:val="Quote"/>
    <w:basedOn w:val="Normal"/>
    <w:next w:val="Normal"/>
    <w:link w:val="QuoteChar"/>
    <w:uiPriority w:val="29"/>
    <w:qFormat/>
    <w:rsid w:val="00012EB2"/>
    <w:rPr>
      <w:i/>
      <w:iCs/>
    </w:rPr>
  </w:style>
  <w:style w:type="character" w:customStyle="1" w:styleId="QuoteChar">
    <w:name w:val="Quote Char"/>
    <w:basedOn w:val="DefaultParagraphFont"/>
    <w:link w:val="Quote"/>
    <w:uiPriority w:val="29"/>
    <w:rsid w:val="00012EB2"/>
    <w:rPr>
      <w:i/>
      <w:iCs/>
      <w:color w:val="000000" w:themeColor="text1"/>
      <w:sz w:val="22"/>
    </w:rPr>
  </w:style>
  <w:style w:type="paragraph" w:customStyle="1" w:styleId="Anleitung">
    <w:name w:val="Anleitung"/>
    <w:basedOn w:val="Normal"/>
    <w:next w:val="Normal"/>
    <w:qFormat/>
    <w:rsid w:val="007E0DA4"/>
    <w:pPr>
      <w:spacing w:after="200" w:line="276" w:lineRule="auto"/>
    </w:pPr>
    <w:rPr>
      <w:rFonts w:ascii="Calibri" w:eastAsia="Calibri" w:hAnsi="Calibri" w:cs="Times New Roman"/>
      <w:i/>
      <w:color w:val="808080" w:themeColor="background1" w:themeShade="80"/>
      <w:szCs w:val="22"/>
    </w:rPr>
  </w:style>
  <w:style w:type="paragraph" w:styleId="NormalWeb">
    <w:name w:val="Normal (Web)"/>
    <w:basedOn w:val="Normal"/>
    <w:uiPriority w:val="99"/>
    <w:semiHidden/>
    <w:unhideWhenUsed/>
    <w:rsid w:val="00661417"/>
    <w:pPr>
      <w:spacing w:before="100" w:beforeAutospacing="1" w:after="100" w:afterAutospacing="1" w:line="240" w:lineRule="auto"/>
    </w:pPr>
    <w:rPr>
      <w:rFonts w:ascii="Times New Roman" w:eastAsia="Times New Roman" w:hAnsi="Times New Roman" w:cs="Times New Roman"/>
      <w:color w:val="auto"/>
      <w:sz w:val="24"/>
      <w:lang w:eastAsia="de-DE"/>
    </w:rPr>
  </w:style>
  <w:style w:type="character" w:styleId="Strong">
    <w:name w:val="Strong"/>
    <w:basedOn w:val="DefaultParagraphFont"/>
    <w:uiPriority w:val="22"/>
    <w:qFormat/>
    <w:rsid w:val="00661417"/>
    <w:rPr>
      <w:b/>
      <w:bCs/>
    </w:rPr>
  </w:style>
  <w:style w:type="character" w:styleId="Hyperlink">
    <w:name w:val="Hyperlink"/>
    <w:basedOn w:val="DefaultParagraphFont"/>
    <w:uiPriority w:val="99"/>
    <w:semiHidden/>
    <w:unhideWhenUsed/>
    <w:rsid w:val="00661417"/>
    <w:rPr>
      <w:color w:val="0000FF"/>
      <w:u w:val="single"/>
    </w:rPr>
  </w:style>
  <w:style w:type="character" w:styleId="Emphasis">
    <w:name w:val="Emphasis"/>
    <w:basedOn w:val="DefaultParagraphFont"/>
    <w:uiPriority w:val="20"/>
    <w:qFormat/>
    <w:rsid w:val="00661417"/>
    <w:rPr>
      <w:i/>
      <w:iC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3E40D8"/>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E40D8"/>
    <w:rPr>
      <w:b/>
      <w:bCs/>
    </w:rPr>
  </w:style>
  <w:style w:type="character" w:customStyle="1" w:styleId="CommentSubjectChar">
    <w:name w:val="Comment Subject Char"/>
    <w:basedOn w:val="CommentTextChar"/>
    <w:link w:val="CommentSubject"/>
    <w:uiPriority w:val="99"/>
    <w:semiHidden/>
    <w:rsid w:val="003E40D8"/>
    <w:rPr>
      <w:b/>
      <w:bCs/>
      <w:color w:val="000000" w:themeColor="text1"/>
      <w:sz w:val="20"/>
      <w:szCs w:val="20"/>
    </w:rPr>
  </w:style>
  <w:style w:type="character" w:styleId="FollowedHyperlink">
    <w:name w:val="FollowedHyperlink"/>
    <w:basedOn w:val="DefaultParagraphFont"/>
    <w:uiPriority w:val="99"/>
    <w:semiHidden/>
    <w:unhideWhenUsed/>
    <w:rsid w:val="009730B4"/>
    <w:rPr>
      <w:color w:val="800080" w:themeColor="followedHyperlink"/>
      <w:u w:val="single"/>
    </w:rPr>
  </w:style>
  <w:style w:type="paragraph" w:styleId="Header">
    <w:name w:val="header"/>
    <w:basedOn w:val="Normal"/>
    <w:link w:val="HeaderChar"/>
    <w:uiPriority w:val="99"/>
    <w:unhideWhenUsed/>
    <w:rsid w:val="00527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766"/>
    <w:rPr>
      <w:color w:val="000000" w:themeColor="text1"/>
      <w:sz w:val="22"/>
    </w:rPr>
  </w:style>
  <w:style w:type="paragraph" w:styleId="Footer">
    <w:name w:val="footer"/>
    <w:basedOn w:val="Normal"/>
    <w:link w:val="FooterChar"/>
    <w:uiPriority w:val="99"/>
    <w:unhideWhenUsed/>
    <w:rsid w:val="00527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766"/>
    <w:rPr>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261211">
      <w:bodyDiv w:val="1"/>
      <w:marLeft w:val="0"/>
      <w:marRight w:val="0"/>
      <w:marTop w:val="0"/>
      <w:marBottom w:val="0"/>
      <w:divBdr>
        <w:top w:val="none" w:sz="0" w:space="0" w:color="auto"/>
        <w:left w:val="none" w:sz="0" w:space="0" w:color="auto"/>
        <w:bottom w:val="none" w:sz="0" w:space="0" w:color="auto"/>
        <w:right w:val="none" w:sz="0" w:space="0" w:color="auto"/>
      </w:divBdr>
      <w:divsChild>
        <w:div w:id="1600991536">
          <w:marLeft w:val="-225"/>
          <w:marRight w:val="-225"/>
          <w:marTop w:val="0"/>
          <w:marBottom w:val="0"/>
          <w:divBdr>
            <w:top w:val="none" w:sz="0" w:space="0" w:color="auto"/>
            <w:left w:val="none" w:sz="0" w:space="0" w:color="auto"/>
            <w:bottom w:val="none" w:sz="0" w:space="0" w:color="auto"/>
            <w:right w:val="none" w:sz="0" w:space="0" w:color="auto"/>
          </w:divBdr>
          <w:divsChild>
            <w:div w:id="1521044895">
              <w:marLeft w:val="0"/>
              <w:marRight w:val="0"/>
              <w:marTop w:val="0"/>
              <w:marBottom w:val="0"/>
              <w:divBdr>
                <w:top w:val="none" w:sz="0" w:space="0" w:color="auto"/>
                <w:left w:val="none" w:sz="0" w:space="0" w:color="auto"/>
                <w:bottom w:val="none" w:sz="0" w:space="0" w:color="auto"/>
                <w:right w:val="none" w:sz="0" w:space="0" w:color="auto"/>
              </w:divBdr>
              <w:divsChild>
                <w:div w:id="1661541736">
                  <w:marLeft w:val="0"/>
                  <w:marRight w:val="0"/>
                  <w:marTop w:val="225"/>
                  <w:marBottom w:val="225"/>
                  <w:divBdr>
                    <w:top w:val="none" w:sz="0" w:space="0" w:color="auto"/>
                    <w:left w:val="none" w:sz="0" w:space="0" w:color="auto"/>
                    <w:bottom w:val="none" w:sz="0" w:space="0" w:color="auto"/>
                    <w:right w:val="none" w:sz="0" w:space="0" w:color="auto"/>
                  </w:divBdr>
                  <w:divsChild>
                    <w:div w:id="436217541">
                      <w:marLeft w:val="0"/>
                      <w:marRight w:val="0"/>
                      <w:marTop w:val="0"/>
                      <w:marBottom w:val="0"/>
                      <w:divBdr>
                        <w:top w:val="none" w:sz="0" w:space="0" w:color="auto"/>
                        <w:left w:val="none" w:sz="0" w:space="0" w:color="auto"/>
                        <w:bottom w:val="none" w:sz="0" w:space="0" w:color="auto"/>
                        <w:right w:val="none" w:sz="0" w:space="0" w:color="auto"/>
                      </w:divBdr>
                    </w:div>
                  </w:divsChild>
                </w:div>
                <w:div w:id="1367752020">
                  <w:marLeft w:val="0"/>
                  <w:marRight w:val="0"/>
                  <w:marTop w:val="225"/>
                  <w:marBottom w:val="225"/>
                  <w:divBdr>
                    <w:top w:val="none" w:sz="0" w:space="0" w:color="auto"/>
                    <w:left w:val="none" w:sz="0" w:space="0" w:color="auto"/>
                    <w:bottom w:val="none" w:sz="0" w:space="0" w:color="auto"/>
                    <w:right w:val="none" w:sz="0" w:space="0" w:color="auto"/>
                  </w:divBdr>
                  <w:divsChild>
                    <w:div w:id="7112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8288">
      <w:bodyDiv w:val="1"/>
      <w:marLeft w:val="0"/>
      <w:marRight w:val="0"/>
      <w:marTop w:val="0"/>
      <w:marBottom w:val="0"/>
      <w:divBdr>
        <w:top w:val="none" w:sz="0" w:space="0" w:color="auto"/>
        <w:left w:val="none" w:sz="0" w:space="0" w:color="auto"/>
        <w:bottom w:val="none" w:sz="0" w:space="0" w:color="auto"/>
        <w:right w:val="none" w:sz="0" w:space="0" w:color="auto"/>
      </w:divBdr>
      <w:divsChild>
        <w:div w:id="1544754373">
          <w:marLeft w:val="-225"/>
          <w:marRight w:val="-225"/>
          <w:marTop w:val="0"/>
          <w:marBottom w:val="0"/>
          <w:divBdr>
            <w:top w:val="none" w:sz="0" w:space="0" w:color="auto"/>
            <w:left w:val="none" w:sz="0" w:space="0" w:color="auto"/>
            <w:bottom w:val="none" w:sz="0" w:space="0" w:color="auto"/>
            <w:right w:val="none" w:sz="0" w:space="0" w:color="auto"/>
          </w:divBdr>
          <w:divsChild>
            <w:div w:id="1315060135">
              <w:marLeft w:val="0"/>
              <w:marRight w:val="0"/>
              <w:marTop w:val="0"/>
              <w:marBottom w:val="0"/>
              <w:divBdr>
                <w:top w:val="none" w:sz="0" w:space="0" w:color="auto"/>
                <w:left w:val="none" w:sz="0" w:space="0" w:color="auto"/>
                <w:bottom w:val="none" w:sz="0" w:space="0" w:color="auto"/>
                <w:right w:val="none" w:sz="0" w:space="0" w:color="auto"/>
              </w:divBdr>
              <w:divsChild>
                <w:div w:id="94374558">
                  <w:marLeft w:val="0"/>
                  <w:marRight w:val="0"/>
                  <w:marTop w:val="225"/>
                  <w:marBottom w:val="225"/>
                  <w:divBdr>
                    <w:top w:val="none" w:sz="0" w:space="0" w:color="auto"/>
                    <w:left w:val="none" w:sz="0" w:space="0" w:color="auto"/>
                    <w:bottom w:val="none" w:sz="0" w:space="0" w:color="auto"/>
                    <w:right w:val="none" w:sz="0" w:space="0" w:color="auto"/>
                  </w:divBdr>
                  <w:divsChild>
                    <w:div w:id="1973436187">
                      <w:marLeft w:val="0"/>
                      <w:marRight w:val="0"/>
                      <w:marTop w:val="0"/>
                      <w:marBottom w:val="0"/>
                      <w:divBdr>
                        <w:top w:val="none" w:sz="0" w:space="0" w:color="auto"/>
                        <w:left w:val="none" w:sz="0" w:space="0" w:color="auto"/>
                        <w:bottom w:val="none" w:sz="0" w:space="0" w:color="auto"/>
                        <w:right w:val="none" w:sz="0" w:space="0" w:color="auto"/>
                      </w:divBdr>
                    </w:div>
                  </w:divsChild>
                </w:div>
                <w:div w:id="1664158819">
                  <w:marLeft w:val="0"/>
                  <w:marRight w:val="0"/>
                  <w:marTop w:val="225"/>
                  <w:marBottom w:val="225"/>
                  <w:divBdr>
                    <w:top w:val="none" w:sz="0" w:space="0" w:color="auto"/>
                    <w:left w:val="none" w:sz="0" w:space="0" w:color="auto"/>
                    <w:bottom w:val="none" w:sz="0" w:space="0" w:color="auto"/>
                    <w:right w:val="none" w:sz="0" w:space="0" w:color="auto"/>
                  </w:divBdr>
                  <w:divsChild>
                    <w:div w:id="4166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johner-institut.de/blog/tag/interoperabilitat" TargetMode="External"/><Relationship Id="rId26" Type="http://schemas.openxmlformats.org/officeDocument/2006/relationships/hyperlink" Target="http://curia.europa.eu/juris/liste.jsf?num=C-503/13&amp;language=en" TargetMode="External"/><Relationship Id="rId39" Type="http://schemas.openxmlformats.org/officeDocument/2006/relationships/fontTable" Target="fontTable.xml"/><Relationship Id="rId21" Type="http://schemas.openxmlformats.org/officeDocument/2006/relationships/hyperlink" Target="https://juris.bundesgerichtshof.de/cgi-bin/rechtsprechung/document.py?Gericht=bgh&amp;Art=en&amp;nr=46697&amp;pos=0&amp;anz=1" TargetMode="External"/><Relationship Id="rId34" Type="http://schemas.openxmlformats.org/officeDocument/2006/relationships/hyperlink" Target="https://www.johner-institut.de/blog/wp-content/uploads/2020/02/MDR_konsolidiert.html" TargetMode="External"/><Relationship Id="rId42" Type="http://schemas.openxmlformats.org/officeDocument/2006/relationships/customXml" Target="../customXml/item2.xml"/><Relationship Id="rId7" Type="http://schemas.openxmlformats.org/officeDocument/2006/relationships/hyperlink" Target="https://www.johner-institut.de/blog/regulatory-affairs/haendler/" TargetMode="External"/><Relationship Id="rId2" Type="http://schemas.openxmlformats.org/officeDocument/2006/relationships/styles" Target="styles.xml"/><Relationship Id="rId16" Type="http://schemas.openxmlformats.org/officeDocument/2006/relationships/hyperlink" Target="https://www.johner-institut.de/blog/regulatory-affairs/mpbetreibv-medizinprodukte-betreiberverordnung/" TargetMode="External"/><Relationship Id="rId20" Type="http://schemas.openxmlformats.org/officeDocument/2006/relationships/hyperlink" Target="https://www.prinz.law/urteile/bgh/VI_ZR__65-86-ok" TargetMode="External"/><Relationship Id="rId29" Type="http://schemas.openxmlformats.org/officeDocument/2006/relationships/hyperlink" Target="http://curia.europa.eu/juris/document/document.jsf?text=&amp;docid=205407&amp;pageIndex=0&amp;doclang=EN&amp;mode=req&amp;dir=&amp;occ=first&amp;part=1"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juris.bundesgerichtshof.de/cgi-bin/rechtsprechung/document.py?Gericht=bgh&amp;Art=en&amp;az=VII%20ZR%20151/18&amp;nr=104766" TargetMode="External"/><Relationship Id="rId32" Type="http://schemas.openxmlformats.org/officeDocument/2006/relationships/hyperlink" Target="https://www.johner-institut.de/blog/regulatory-affairs/post-market-surveillance-plan-iso-20416/" TargetMode="External"/><Relationship Id="rId37" Type="http://schemas.openxmlformats.org/officeDocument/2006/relationships/hyperlink" Target="https://www.johner-institut.de/kontak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ohner-institut.de/blog/regulatory-affairs/ivdr-in-vitro-diagnostic-device-regulation/" TargetMode="External"/><Relationship Id="rId23" Type="http://schemas.openxmlformats.org/officeDocument/2006/relationships/hyperlink" Target="https://juris.bundesgerichtshof.de/cgi-bin/rechtsprechung/document.py?Gericht=bgh&amp;Art=en&amp;az=VII%20ZR%20151/18&amp;nr=104766" TargetMode="External"/><Relationship Id="rId28" Type="http://schemas.openxmlformats.org/officeDocument/2006/relationships/hyperlink" Target="http://curia.europa.eu/juris/liste.jsf?language=en&amp;jur=C,T,F&amp;num=C-219/15&amp;td=ALL" TargetMode="External"/><Relationship Id="rId36" Type="http://schemas.openxmlformats.org/officeDocument/2006/relationships/hyperlink" Target="https://www.johner-institut.de/blog/wp-content/uploads/2020/02/MDR_konsolidiert.html" TargetMode="External"/><Relationship Id="rId10" Type="http://schemas.openxmlformats.org/officeDocument/2006/relationships/hyperlink" Target="https://www.johner-institut.de/blog/regulatory-affairs/gebrauchsanweisungen/" TargetMode="External"/><Relationship Id="rId19" Type="http://schemas.openxmlformats.org/officeDocument/2006/relationships/hyperlink" Target="https://www.prinz.law/urteile/bgh/VI_ZR__65-86-ok" TargetMode="External"/><Relationship Id="rId3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johner-institut.de/blog/iso-14971-risikomanagement/risikoakzeptanz/" TargetMode="External"/><Relationship Id="rId14" Type="http://schemas.openxmlformats.org/officeDocument/2006/relationships/hyperlink" Target="https://www.johner-institut.de/blog/regulatory-affairs/medical-device-regulation-mdr-medizinprodukteverordnung/" TargetMode="External"/><Relationship Id="rId22" Type="http://schemas.openxmlformats.org/officeDocument/2006/relationships/hyperlink" Target="https://juris.bundesgerichtshof.de/cgi-bin/rechtsprechung/document.py?Gericht=bgh&amp;Art=en&amp;nr=46697&amp;pos=0&amp;anz=1" TargetMode="External"/><Relationship Id="rId27" Type="http://schemas.openxmlformats.org/officeDocument/2006/relationships/hyperlink" Target="http://curia.europa.eu/juris/liste.jsf?language=en&amp;jur=C,T,F&amp;num=C-219/15&amp;td=ALL" TargetMode="External"/><Relationship Id="rId30" Type="http://schemas.openxmlformats.org/officeDocument/2006/relationships/hyperlink" Target="http://curia.europa.eu/juris/document/document.jsf?text=&amp;docid=205407&amp;pageIndex=0&amp;doclang=EN&amp;mode=req&amp;dir=&amp;occ=first&amp;part=1" TargetMode="External"/><Relationship Id="rId35" Type="http://schemas.openxmlformats.org/officeDocument/2006/relationships/hyperlink" Target="https://www.johner-institut.de/blog/wp-content/uploads/2020/02/MDR_konsolidiert.html" TargetMode="External"/><Relationship Id="rId43" Type="http://schemas.openxmlformats.org/officeDocument/2006/relationships/customXml" Target="../customXml/item3.xml"/><Relationship Id="rId8" Type="http://schemas.openxmlformats.org/officeDocument/2006/relationships/hyperlink" Target="https://www.johner-institut.de/blog/regulatory-affairs/arbeitnehmerhaftung/"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johner-institut.de/blog/gesundheitswesen/digitale-gesundheitsanwendungen-verordnung-digav/" TargetMode="External"/><Relationship Id="rId25" Type="http://schemas.openxmlformats.org/officeDocument/2006/relationships/hyperlink" Target="http://curia.europa.eu/juris/liste.jsf?num=C-503/13&amp;language=en" TargetMode="External"/><Relationship Id="rId33" Type="http://schemas.openxmlformats.org/officeDocument/2006/relationships/hyperlink" Target="https://www.johner-institut.de/digitale-dienstleistungen/post-market-radar/" TargetMode="External"/><Relationship Id="rId38" Type="http://schemas.openxmlformats.org/officeDocument/2006/relationships/hyperlink" Target="mailto:sonia.seubert@mazars.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ABBADDEF8EA4E8F91FF6594953F61" ma:contentTypeVersion="11" ma:contentTypeDescription="Create a new document." ma:contentTypeScope="" ma:versionID="e9bdf3933f10e58171d4a9bc7de1924d">
  <xsd:schema xmlns:xsd="http://www.w3.org/2001/XMLSchema" xmlns:xs="http://www.w3.org/2001/XMLSchema" xmlns:p="http://schemas.microsoft.com/office/2006/metadata/properties" xmlns:ns2="567b6213-8d2c-4467-bc69-40117c0f8825" xmlns:ns3="f77fd003-8bbc-4669-b915-5700cadb1a78" targetNamespace="http://schemas.microsoft.com/office/2006/metadata/properties" ma:root="true" ma:fieldsID="72e1cbc284891dca19aa12bd153d496b" ns2:_="" ns3:_="">
    <xsd:import namespace="567b6213-8d2c-4467-bc69-40117c0f8825"/>
    <xsd:import namespace="f77fd003-8bbc-4669-b915-5700cadb1a7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b6213-8d2c-4467-bc69-40117c0f8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fd003-8bbc-4669-b915-5700cadb1a7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E5AE95-72DD-477A-9411-057AC88286C4}"/>
</file>

<file path=customXml/itemProps2.xml><?xml version="1.0" encoding="utf-8"?>
<ds:datastoreItem xmlns:ds="http://schemas.openxmlformats.org/officeDocument/2006/customXml" ds:itemID="{60256064-A327-4CC2-8623-BCF810C642AC}"/>
</file>

<file path=customXml/itemProps3.xml><?xml version="1.0" encoding="utf-8"?>
<ds:datastoreItem xmlns:ds="http://schemas.openxmlformats.org/officeDocument/2006/customXml" ds:itemID="{954A9667-F816-434C-835A-3173D1EF6447}"/>
</file>

<file path=docProps/app.xml><?xml version="1.0" encoding="utf-8"?>
<Properties xmlns="http://schemas.openxmlformats.org/officeDocument/2006/extended-properties" xmlns:vt="http://schemas.openxmlformats.org/officeDocument/2006/docPropsVTypes">
  <Template>Normal.dotm</Template>
  <TotalTime>0</TotalTime>
  <Pages>10</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2021-02-11T13:30:00Z</dcterms:created>
  <dcterms:modified xsi:type="dcterms:W3CDTF">2021-02-11T13:30:00Z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0x010100C9BABBADDEF8EA4E8F91FF6594953F61</vt:lpwstr>
  </property>
</Properties>
</file>