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4BE8" w:rsidRPr="00E826D2" w:rsidRDefault="00C84BE8" w:rsidP="00C84BE8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Calibri"/>
          <w:b/>
          <w:lang w:eastAsia="ar-SA"/>
        </w:rPr>
      </w:pPr>
      <w:r w:rsidRPr="00E826D2">
        <w:rPr>
          <w:rFonts w:ascii="Times New Roman" w:eastAsia="Times New Roman" w:hAnsi="Times New Roman" w:cs="Calibri"/>
          <w:b/>
          <w:lang w:eastAsia="ar-SA"/>
        </w:rPr>
        <w:t xml:space="preserve">Соглашение о присоединении к Правилам работы в Системе </w:t>
      </w:r>
      <w:r w:rsidR="000A0397" w:rsidRPr="00E826D2">
        <w:rPr>
          <w:rFonts w:ascii="Times New Roman" w:eastAsia="Times New Roman" w:hAnsi="Times New Roman" w:cs="Calibri"/>
          <w:b/>
          <w:lang w:val="en-US" w:eastAsia="ar-SA"/>
        </w:rPr>
        <w:t>O</w:t>
      </w:r>
      <w:r w:rsidR="00E826D2">
        <w:rPr>
          <w:rFonts w:ascii="Times New Roman" w:eastAsia="Times New Roman" w:hAnsi="Times New Roman" w:cs="Calibri"/>
          <w:b/>
          <w:lang w:val="en-US" w:eastAsia="ar-SA"/>
        </w:rPr>
        <w:t>NLINECO</w:t>
      </w:r>
      <w:r w:rsidR="00E826D2" w:rsidRPr="00E826D2">
        <w:rPr>
          <w:rFonts w:ascii="Times New Roman" w:eastAsia="Times New Roman" w:hAnsi="Times New Roman" w:cs="Calibri"/>
          <w:b/>
          <w:lang w:val="en-US" w:eastAsia="ar-SA"/>
        </w:rPr>
        <w:t>NTRACT</w:t>
      </w:r>
    </w:p>
    <w:p w:rsidR="00C84BE8" w:rsidRPr="00E826D2" w:rsidRDefault="00C84BE8" w:rsidP="00C84BE8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lang w:eastAsia="ar-SA"/>
        </w:rPr>
      </w:pPr>
      <w:r w:rsidRPr="00E826D2">
        <w:rPr>
          <w:rFonts w:ascii="Times New Roman" w:eastAsia="Times New Roman" w:hAnsi="Times New Roman" w:cs="Calibri"/>
          <w:b/>
          <w:lang w:eastAsia="ar-SA"/>
        </w:rPr>
        <w:t>и об обеспечении заявки на участие</w:t>
      </w:r>
    </w:p>
    <w:p w:rsidR="00C84BE8" w:rsidRPr="007E18D8" w:rsidRDefault="00C84BE8" w:rsidP="00C84BE8">
      <w:pPr>
        <w:suppressAutoHyphens/>
        <w:spacing w:before="240" w:after="240" w:line="240" w:lineRule="auto"/>
        <w:ind w:firstLine="709"/>
        <w:rPr>
          <w:rFonts w:ascii="Times New Roman" w:eastAsia="Times New Roman" w:hAnsi="Times New Roman" w:cs="Calibri"/>
          <w:b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г. Казань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ab/>
        <w:t xml:space="preserve">           </w:t>
      </w:r>
      <w:r w:rsidR="007E18D8"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                  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 xml:space="preserve">          </w:t>
      </w:r>
      <w:sdt>
        <w:sdtPr>
          <w:rPr>
            <w:rFonts w:ascii="Times New Roman" w:eastAsia="Times New Roman" w:hAnsi="Times New Roman" w:cs="Calibri"/>
            <w:b/>
            <w:sz w:val="20"/>
            <w:szCs w:val="20"/>
            <w:lang w:eastAsia="ar-SA"/>
          </w:rPr>
          <w:id w:val="179554836"/>
          <w:placeholder>
            <w:docPart w:val="DefaultPlaceholder_1081868576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="00FF44C6" w:rsidRPr="004436BD">
            <w:rPr>
              <w:rStyle w:val="aa"/>
              <w:color w:val="auto"/>
              <w:sz w:val="20"/>
              <w:szCs w:val="20"/>
              <w:highlight w:val="yellow"/>
            </w:rPr>
            <w:t>Место для ввода даты.</w:t>
          </w:r>
        </w:sdtContent>
      </w:sdt>
    </w:p>
    <w:p w:rsidR="00EF64C2" w:rsidRPr="007E18D8" w:rsidRDefault="00EF64C2" w:rsidP="00E826D2">
      <w:pPr>
        <w:suppressAutoHyphens/>
        <w:spacing w:after="0" w:line="240" w:lineRule="auto"/>
        <w:jc w:val="both"/>
        <w:rPr>
          <w:rFonts w:ascii="Times New Roman" w:eastAsia="Times New Roman" w:hAnsi="Times New Roman" w:cs="Calibri"/>
          <w:sz w:val="20"/>
          <w:szCs w:val="20"/>
          <w:lang w:eastAsia="ar-SA"/>
        </w:rPr>
      </w:pP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Общество с ограниченной ответственностью «МХ 1»,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«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Оператор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», в лице директора Гурова Александра Андреевича, действующего на основании Устава, с одной стороны, 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510572893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именуемое в дальнейшем </w:t>
      </w:r>
      <w:r w:rsidRPr="007E18D8">
        <w:rPr>
          <w:rFonts w:ascii="Times New Roman" w:eastAsia="Times New Roman" w:hAnsi="Times New Roman" w:cs="Calibri"/>
          <w:b/>
          <w:sz w:val="20"/>
          <w:szCs w:val="20"/>
          <w:lang w:eastAsia="ar-SA"/>
        </w:rPr>
        <w:t>«Клиент»,</w:t>
      </w:r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в лице</w:t>
      </w:r>
      <w:r w:rsidR="00981770"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561702402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 xml:space="preserve">Место для ввода </w:t>
          </w:r>
          <w:proofErr w:type="gramStart"/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</w:t>
      </w:r>
      <w:proofErr w:type="gramEnd"/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 xml:space="preserve"> действующего на основании </w:t>
      </w:r>
      <w:sdt>
        <w:sdtPr>
          <w:rPr>
            <w:rFonts w:ascii="Times New Roman" w:eastAsia="Times New Roman" w:hAnsi="Times New Roman" w:cs="Calibri"/>
            <w:sz w:val="20"/>
            <w:szCs w:val="20"/>
            <w:lang w:eastAsia="ar-SA"/>
          </w:rPr>
          <w:id w:val="-1760590189"/>
          <w:placeholder>
            <w:docPart w:val="DefaultPlaceholder_1081868574"/>
          </w:placeholder>
          <w:showingPlcHdr/>
        </w:sdtPr>
        <w:sdtEndPr/>
        <w:sdtContent>
          <w:r w:rsidR="00FF44C6" w:rsidRPr="00C36BE6">
            <w:rPr>
              <w:rStyle w:val="aa"/>
              <w:color w:val="auto"/>
              <w:sz w:val="20"/>
              <w:szCs w:val="20"/>
              <w:highlight w:val="yellow"/>
            </w:rPr>
            <w:t>Место для ввода текста.</w:t>
          </w:r>
        </w:sdtContent>
      </w:sdt>
      <w:r w:rsidRPr="007E18D8">
        <w:rPr>
          <w:rFonts w:ascii="Times New Roman" w:eastAsia="Times New Roman" w:hAnsi="Times New Roman" w:cs="Calibri"/>
          <w:sz w:val="20"/>
          <w:szCs w:val="20"/>
          <w:lang w:eastAsia="ar-SA"/>
        </w:rPr>
        <w:t>, с другой стороны, заключили настоящее соглашение о нижеследующем:</w:t>
      </w:r>
    </w:p>
    <w:p w:rsidR="006D4344" w:rsidRPr="000A0397" w:rsidRDefault="006D4344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</w:pPr>
    </w:p>
    <w:p w:rsidR="002D544F" w:rsidRPr="000A0397" w:rsidRDefault="002D544F" w:rsidP="002D544F">
      <w:pPr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Calibri"/>
          <w:sz w:val="21"/>
          <w:szCs w:val="21"/>
          <w:lang w:eastAsia="ar-SA"/>
        </w:rPr>
        <w:sectPr w:rsidR="002D544F" w:rsidRPr="000A0397" w:rsidSect="00742042">
          <w:footerReference w:type="even" r:id="rId7"/>
          <w:footerReference w:type="default" r:id="rId8"/>
          <w:headerReference w:type="first" r:id="rId9"/>
          <w:footerReference w:type="first" r:id="rId10"/>
          <w:type w:val="continuous"/>
          <w:pgSz w:w="11906" w:h="16838"/>
          <w:pgMar w:top="267" w:right="707" w:bottom="1134" w:left="851" w:header="421" w:footer="708" w:gutter="0"/>
          <w:cols w:space="708"/>
          <w:titlePg/>
          <w:docGrid w:linePitch="360"/>
        </w:sectPr>
      </w:pPr>
    </w:p>
    <w:p w:rsidR="00EF64C2" w:rsidRPr="00E826D2" w:rsidRDefault="00EF64C2" w:rsidP="00DB49A5">
      <w:pPr>
        <w:numPr>
          <w:ilvl w:val="0"/>
          <w:numId w:val="10"/>
        </w:numPr>
        <w:tabs>
          <w:tab w:val="left" w:pos="142"/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 момента подписания настоящего соглашения Клиент соглашается и присоединяется к Правилам работы в системе 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>«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val="en-US" w:eastAsia="ar-SA"/>
        </w:rPr>
        <w:t>O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 xml:space="preserve">NLINECONTRACT»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(далее - «Правила»), размещенными в сети Интернет по адресу </w:t>
      </w:r>
      <w:hyperlink r:id="rId11" w:history="1">
        <w:r w:rsidRPr="00E826D2">
          <w:rPr>
            <w:rFonts w:ascii="Times New Roman" w:eastAsia="Times New Roman" w:hAnsi="Times New Roman" w:cs="Calibri"/>
            <w:sz w:val="19"/>
            <w:szCs w:val="19"/>
            <w:u w:val="single"/>
            <w:lang w:eastAsia="ar-SA"/>
          </w:rPr>
          <w:t>www.onlinecontract.ru</w:t>
        </w:r>
      </w:hyperlink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порядке ст. 428 ГК РФ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 наделяется всеми правами и обязанностями участника Электронной торговой площадки 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val="en-US" w:eastAsia="ar-SA"/>
        </w:rPr>
        <w:t>O</w:t>
      </w:r>
      <w:r w:rsidRPr="00E826D2">
        <w:rPr>
          <w:rFonts w:ascii="Times New Roman" w:eastAsia="Times New Roman" w:hAnsi="Times New Roman" w:cs="Calibri"/>
          <w:b/>
          <w:sz w:val="19"/>
          <w:szCs w:val="19"/>
          <w:lang w:eastAsia="ar-SA"/>
        </w:rPr>
        <w:t xml:space="preserve">NLINECONTRACT,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предусмотренными Правилами. 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567"/>
        </w:tabs>
        <w:suppressAutoHyphens/>
        <w:spacing w:after="0" w:line="240" w:lineRule="auto"/>
        <w:ind w:left="284" w:firstLine="0"/>
        <w:contextualSpacing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 целях обеспечения своей заявки 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(предложения) в торгово-закупочных процедурах (далее – ТЗП)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вносит обеспечительный платеж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(далее – обеспечение), задаток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депозит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 расчетный счет Оператора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срок не позднее, чем за 1 (один) рабочий день до начала проведения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 размере, указанном в Извещении о проведении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(публикации)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 Размер определяется следующим образом:</w:t>
      </w:r>
    </w:p>
    <w:p w:rsidR="00EF64C2" w:rsidRPr="00E826D2" w:rsidRDefault="00EF64C2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- для Торгов в Секторе Корпоративные закупки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Секторе Реализации активов и имущества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устанавливается в соответствии с Правилами;</w:t>
      </w:r>
    </w:p>
    <w:p w:rsidR="004F3E61" w:rsidRPr="00E826D2" w:rsidRDefault="004F3E61" w:rsidP="00E217AF">
      <w:pPr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- для иных закупочных процедур в Секторе Корпоративные закупки с требованием внесения Обеспечения предложения Участника устанавливается Оператором;</w:t>
      </w:r>
    </w:p>
    <w:p w:rsidR="00EF64C2" w:rsidRPr="00E826D2" w:rsidRDefault="00EF64C2" w:rsidP="000A0397">
      <w:pPr>
        <w:shd w:val="clear" w:color="auto" w:fill="FFFFFF" w:themeFill="background1"/>
        <w:tabs>
          <w:tab w:val="left" w:pos="0"/>
          <w:tab w:val="left" w:pos="567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- для Торгов в Секторе Биржевые продукты, устанавливается в Системе Заказчиком до момента начала Торгов.</w:t>
      </w:r>
    </w:p>
    <w:p w:rsidR="00B01702" w:rsidRPr="00E826D2" w:rsidRDefault="00B0170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 денежные средства, перечисленные в соответствии с настоящим Соглашением, проценты не начисляются.</w:t>
      </w:r>
    </w:p>
    <w:p w:rsidR="00FC6DED" w:rsidRPr="00E826D2" w:rsidRDefault="00EF64C2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по согласованию с Оператором может внести в счет оплаты обеспечени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я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задатка или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депозита сумму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достаточную для создания и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/или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участия в будущем в нескольких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 В этом случае размер суммы обеспечения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задатка или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определяется Клиентом исходя из объемов планируемых заявок на создание и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/или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участие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 Торгах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EF64C2" w:rsidRPr="00E826D2" w:rsidRDefault="00FC6DED" w:rsidP="000A0397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Внесение </w:t>
      </w:r>
      <w:r w:rsidR="00E217A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третьим лицом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задатка за Клиента не допускается.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случае, если Клиент становится по итогам Торгов в Секторе Корпоративные закупки</w:t>
      </w:r>
      <w:r w:rsidR="0098177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Секторе Реализации активов и имущества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Победителем, то он обязан заключить контракт с Заказчиком.</w:t>
      </w:r>
    </w:p>
    <w:p w:rsidR="00A07B3F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окончания Т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обеспечительные платежи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331A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депозиты,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задатки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Клиентов могут остаться на расчётном счете Оператора для использования в качестве обеспечительных платежей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задатка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по проводимым в будущем в Системе Т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F64C2" w:rsidRPr="00E826D2" w:rsidRDefault="00A07B3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 согласен, что в случае определения его в качестве Победителя</w:t>
      </w:r>
      <w:r w:rsidR="004F3E61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 Торгах с использованием депозит</w:t>
      </w:r>
      <w:r w:rsidR="00B81887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сумма его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епозит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засчитается в </w:t>
      </w:r>
      <w:r w:rsidR="00B0170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пользу Оператора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4F3E61" w:rsidRPr="00E826D2" w:rsidRDefault="004F3E61" w:rsidP="004F3E61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согласен, что в случае определения его в качестве Поставщика в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закупочных процедурах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 требованием внесения Обеспечения предложения Участника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200A3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 Секторе Корпоративные закупки,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сумма его 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обеспечения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засчитается в пользу Оператора.</w:t>
      </w:r>
    </w:p>
    <w:p w:rsidR="00EF64C2" w:rsidRPr="00E826D2" w:rsidRDefault="00EF64C2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окончания Т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в течение 3 (трех) рабочих дней с момента поступления письменного заявления от Клиента, который не стал Победителем Торгов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Поставщиком в закупочных процедурах с требованием внесения Обеспечения предложения Участника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или не сделал предпоследнее ценовое предложение, Оператор возвращает такому Участнику сумму обеспечительного платежа</w:t>
      </w:r>
      <w:r w:rsidR="009B16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задатка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депозита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EF64C2" w:rsidRPr="00E826D2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подписания контракта с Заказчиком Торгов, в течение 3 (трех) рабочих дней с момента поступления письменного заявления от Клиента, Оператор возвращает Заказчику Торгов, Победителю Торгов и Участнику, сделавшему предпоследнее ценовое предложение,</w:t>
      </w:r>
      <w:r w:rsidR="00B7212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сумму обеспечительного платежа.</w:t>
      </w:r>
    </w:p>
    <w:p w:rsidR="004160CE" w:rsidRPr="00E826D2" w:rsidRDefault="00B0170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Задаток, внесенный Победителем </w:t>
      </w:r>
      <w:r w:rsidR="00AF4D6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торгов Оператору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засчитывается в счет обязательства Клиента, признанного Победителем торгов. </w:t>
      </w:r>
      <w:r w:rsidR="00A07B3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поручает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у перечислить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Заказчику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после подписания контракта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DC775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и (или)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протокола Торгов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Клиентом, признанного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Победителем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A1898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4160CE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Заказчиком сумму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задатка, внесенную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им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в счет исполнения </w:t>
      </w:r>
      <w:r w:rsidR="00750A9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своих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обязательств по контракту, </w:t>
      </w:r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согласно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письменного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заявления</w:t>
      </w:r>
      <w:r w:rsidR="001721B4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0240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(распоряжения) Заказчика.</w:t>
      </w:r>
      <w:r w:rsidR="001C119D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217AF" w:rsidRPr="00E826D2" w:rsidRDefault="00EF64C2" w:rsidP="00750A95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 должен вернуть по письменному заявлению Клиента, ставшего Покупателем в Секторе Биржевые продукты, сумму обеспечительного платежа в течение 3 (трех) рабочих дней с момента исполнения всех обязательств по контракту (дополнительному соглашению к контракту) с Заказчиком в Секторе Биржевые продукты, в том числе оплаты по заключенному контракту (дополнительному соглашению к контракту).</w:t>
      </w:r>
      <w:r w:rsidR="00E217A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</w:p>
    <w:p w:rsidR="00E217AF" w:rsidRPr="00E826D2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случае нарушения Заказчиком своих обязательств по контракту</w:t>
      </w:r>
      <w:r w:rsidR="0040371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озврат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Победителю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суммы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его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задатк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перечисленного Оператором в пользу Заказчика в счет исполнения обязательств </w:t>
      </w:r>
      <w:r w:rsidR="005569A0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Победителя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 контракту, осуществляется Заказчиком в соответствии с требованиями действующего законодательства. </w:t>
      </w:r>
    </w:p>
    <w:p w:rsidR="00EF64C2" w:rsidRPr="00E826D2" w:rsidRDefault="00E217AF" w:rsidP="00E217AF">
      <w:pPr>
        <w:numPr>
          <w:ilvl w:val="0"/>
          <w:numId w:val="10"/>
        </w:numPr>
        <w:tabs>
          <w:tab w:val="left" w:pos="0"/>
          <w:tab w:val="left" w:pos="567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Возврат депозита и (или) задатка Клиента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 (или) Обеспечения предложения Участника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не ставшего Победителем 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(Поставщиком)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 итогам Т</w:t>
      </w:r>
      <w:r w:rsidR="00F33C53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ЗП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, осуществляется в соответствии с Правилами. </w:t>
      </w:r>
    </w:p>
    <w:p w:rsidR="00EF64C2" w:rsidRPr="00E826D2" w:rsidRDefault="00EF64C2" w:rsidP="00EF64C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Порядок применения штрафных санкций к Клиенту определен Правилами.</w:t>
      </w:r>
      <w:r w:rsidR="002D544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 оставляет за собой право не удерживать сумму обеспечения Клиента в виде штрафа, если будет доказано исполнение обязательств по контракту.</w:t>
      </w:r>
    </w:p>
    <w:p w:rsidR="00EF64C2" w:rsidRPr="00E826D2" w:rsidRDefault="00EF64C2" w:rsidP="00742042">
      <w:pPr>
        <w:numPr>
          <w:ilvl w:val="0"/>
          <w:numId w:val="10"/>
        </w:numPr>
        <w:tabs>
          <w:tab w:val="left" w:pos="0"/>
          <w:tab w:val="left" w:pos="426"/>
          <w:tab w:val="left" w:pos="709"/>
          <w:tab w:val="left" w:pos="851"/>
          <w:tab w:val="left" w:pos="993"/>
          <w:tab w:val="num" w:pos="1224"/>
          <w:tab w:val="left" w:pos="1276"/>
          <w:tab w:val="left" w:pos="156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несет ответственность за сохранность логина (имени) и пароля от личного кабинета, </w:t>
      </w:r>
      <w:proofErr w:type="gramStart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 несанкционированную руководством</w:t>
      </w:r>
      <w:proofErr w:type="gramEnd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Клиента передачу сотрудником, назначенным в качестве лица, ответственного за работу Клиента в Системе логина (имени) и пароля для входа и работы в Системе третьим лицам, не имеющим соответствующих полномочий и к</w:t>
      </w:r>
      <w:r w:rsidR="00DB69C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валификации на работу в Системе.</w:t>
      </w:r>
    </w:p>
    <w:p w:rsidR="00EF64C2" w:rsidRPr="00E826D2" w:rsidRDefault="00EF64C2" w:rsidP="00742042">
      <w:pPr>
        <w:numPr>
          <w:ilvl w:val="0"/>
          <w:numId w:val="10"/>
        </w:numPr>
        <w:tabs>
          <w:tab w:val="left" w:pos="0"/>
        </w:tabs>
        <w:suppressAutoHyphens/>
        <w:spacing w:after="0" w:line="240" w:lineRule="auto"/>
        <w:ind w:left="284" w:firstLine="0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За несоблюдение правил хранения логина (имени) и пароля или за несанкционированную передачу сотрудником, назначенным в качестве лица, ответственного за работу Клиента в Системе, логина (имени) и пароля для входа и работы в Системе третьим лицам, не имеющим соответствующих полномочий и квалификации на работу в Системе, Клиент несет ответственность в виде штрафа в размере 10 000 (десять тысяч) рублей за каждый факт нарушения.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1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9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 Порядок предоставления УПД, актов об оказании услуг (передаче прав), счет-фактур и других первичных учетных документов: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19.1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обязан заблаговременно сообщить Оператору сведения (Оператор ЭДО, идентификатор учетной записи и пр.), необходимые для направления первичных-учетных и иных документов через Систему ЭДО, путем направления сообщения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по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электронной почт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е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на адрес Оператора edo@onlc.ru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и/или уведомления в разделе «связь с Оператором», и/или указав необходимые сведения в своем личном кабинете в Системе.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19.2.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Оператор оформляет Клиенту УПД, Акт об оказании услуг (передаче прав) и счет-фактуру в форме электронного документа. Оператор направляет Клиенту через систему ЭДО в течение 5(пяти) рабочих дней с момента реализации услуг/ предоставлении прав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19.3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 обязан в течение 5 (пяти) рабочих дней с момента получения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окумент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а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принять их путем подписания, или направить Оператору мотивированный отказ в случае несоответствия оказанных услуг (передаваемых прав) условиям заключенного между Сторонами Договора. При отсутствии мотивированного отказа Клиента от </w:t>
      </w:r>
      <w:proofErr w:type="gramStart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подписания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документа</w:t>
      </w:r>
      <w:proofErr w:type="gramEnd"/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 вышеуказанный срок,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он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подписанным со стороны Клиента, а обязательства Оператора считаются выполненными надлежащим образом. Способ подписания УПД, Актов об оказании услуг (передаче прав) и счет-фактур 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Клиентом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должен совпадать со способом их подписания со стороны Оператора.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19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.4. В случае, если Клиент не сообщил сведения, необходимые для направления вышеуказанных документов в Системе ЭДО, а также не сообщил о необходимости их направления в бумажном виде, оформление и направление УПД, Акта об оказании услуг (передаче прав) и счет-фактуру не производится Оператором, а оказанные услуги (переданные права) считаются принятыми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Клиентом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74204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19.5.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Иные правила получения оригиналов вышеуказанных документов, стоимость отправки</w:t>
      </w:r>
      <w:r w:rsidR="00E826D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оригиналов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перечень используемых Систем ЭДО размещены на сайте Оператора, Системе и/или Договоре, заключенном между Сторонами.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20.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Внесение изменений (дополнений) в настоящее Соглашение производится Оператором в одностороннем порядке, путем опубликования уведомления на сайте Оператора по адресу </w:t>
      </w:r>
      <w:hyperlink r:id="rId12" w:history="1">
        <w:r w:rsidR="00EF64C2" w:rsidRPr="00E826D2">
          <w:rPr>
            <w:rFonts w:ascii="Times New Roman" w:eastAsia="Times New Roman" w:hAnsi="Times New Roman" w:cs="Calibri"/>
            <w:sz w:val="19"/>
            <w:szCs w:val="19"/>
            <w:lang w:eastAsia="ar-SA"/>
          </w:rPr>
          <w:t>http://www.onlinecontract.ru</w:t>
        </w:r>
      </w:hyperlink>
      <w:r w:rsidR="00D43A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становятся обязательными через 3 (три) календарных дня с момента публикации. 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21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Любые изменения (дополнения) в Соглашение с момента вступления в силу, равно распространяются на всех Клиентов, подписавших Соглашение, в том числе ранее даты вступления изменений (дополнений) в силу. 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22.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Во всем остальном, что не предусмотрено настоящим договором, Стороны будут руководствоваться Правилами и действующим законодательством РФ.</w:t>
      </w:r>
    </w:p>
    <w:p w:rsidR="00EF64C2" w:rsidRPr="00E826D2" w:rsidRDefault="00742042" w:rsidP="0074204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23.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Настоящее соглашение вступает в силу с момента его подписания Сторонами и действует в течение 1 (одного) года. Если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до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истечени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я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указанного срока ни одна из сторон не направит письменного заявления о своем желании прекратить </w:t>
      </w: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отношения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, соглашение автоматически продлевается на каждый последующий год.</w:t>
      </w:r>
    </w:p>
    <w:p w:rsidR="00EF64C2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24.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Все возможные споры и разногласия, связанные с исполнением настоящего соглашения, будут разрешаться Сторонами путем переговоров. В случае невозможности разрешения </w:t>
      </w:r>
      <w:r w:rsidR="0074204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споры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передаются на</w:t>
      </w:r>
      <w:r w:rsidR="00EE43F5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разрешение в Арбитражный суд по месту нахождения Ответчика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.</w:t>
      </w:r>
    </w:p>
    <w:p w:rsidR="00A55ECF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25. 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Соглашение, счета и иные документы, связанные с заключением, исполнением, изменением настоящего соглашения и переданные по факсимильной связи и/или электронной почте по реквизитам, указанным в </w:t>
      </w:r>
      <w:r w:rsidR="00FF44C6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п.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</w:t>
      </w:r>
      <w:r w:rsidR="002D544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2</w:t>
      </w:r>
      <w:r w:rsidR="0074204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7</w:t>
      </w:r>
      <w:r w:rsidR="00A55ECF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 настоящего соглашения, имеют юридическую силу до обмена оригиналами. В случае обмена Сторон факсимильными и/или электронными документами, их оригиналы направляются не позднее 5 (пяти) рабочих дней, без учёта времени на почтовую пересылку. При не направлении оригинала документа, факсимильный или электронный документ имеет силу оригинала документа и может быть использован как любой оригинальный документ. Обмен оригиналами документов обязателен для обеих Сторон соглашения.</w:t>
      </w:r>
    </w:p>
    <w:p w:rsidR="00EF64C2" w:rsidRPr="00E826D2" w:rsidRDefault="00E826D2" w:rsidP="00E826D2">
      <w:pPr>
        <w:tabs>
          <w:tab w:val="left" w:pos="0"/>
        </w:tabs>
        <w:suppressAutoHyphens/>
        <w:spacing w:after="0" w:line="240" w:lineRule="auto"/>
        <w:ind w:left="284"/>
        <w:jc w:val="both"/>
        <w:rPr>
          <w:rFonts w:ascii="Times New Roman" w:eastAsia="Times New Roman" w:hAnsi="Times New Roman" w:cs="Calibri"/>
          <w:sz w:val="19"/>
          <w:szCs w:val="19"/>
          <w:lang w:eastAsia="ar-SA"/>
        </w:rPr>
      </w:pPr>
      <w:r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 xml:space="preserve">26. </w:t>
      </w:r>
      <w:r w:rsidR="00EF64C2" w:rsidRPr="00E826D2">
        <w:rPr>
          <w:rFonts w:ascii="Times New Roman" w:eastAsia="Times New Roman" w:hAnsi="Times New Roman" w:cs="Calibri"/>
          <w:sz w:val="19"/>
          <w:szCs w:val="19"/>
          <w:lang w:eastAsia="ar-SA"/>
        </w:rPr>
        <w:t>Настоящее соглашение составлено в 2 (двух) экземплярах, имеющих равную юридическую силу, по одному для каждой из Сторон.</w:t>
      </w:r>
    </w:p>
    <w:p w:rsidR="006D4344" w:rsidRPr="000A0397" w:rsidRDefault="006D4344" w:rsidP="00EF64C2">
      <w:pPr>
        <w:suppressAutoHyphens/>
        <w:spacing w:after="0" w:line="240" w:lineRule="auto"/>
        <w:jc w:val="center"/>
        <w:rPr>
          <w:rFonts w:ascii="Times New Roman" w:eastAsia="Times New Roman" w:hAnsi="Times New Roman" w:cs="Calibri"/>
          <w:b/>
          <w:sz w:val="21"/>
          <w:szCs w:val="21"/>
          <w:lang w:eastAsia="ar-SA"/>
        </w:rPr>
        <w:sectPr w:rsidR="006D4344" w:rsidRPr="000A0397" w:rsidSect="00742042">
          <w:type w:val="continuous"/>
          <w:pgSz w:w="11906" w:h="16838"/>
          <w:pgMar w:top="709" w:right="707" w:bottom="1134" w:left="567" w:header="426" w:footer="708" w:gutter="0"/>
          <w:cols w:num="2" w:space="1"/>
          <w:titlePg/>
          <w:docGrid w:linePitch="360"/>
        </w:sectPr>
      </w:pPr>
    </w:p>
    <w:p w:rsidR="00EF64C2" w:rsidRDefault="00EF64C2" w:rsidP="00E826D2">
      <w:pPr>
        <w:pStyle w:val="a3"/>
        <w:numPr>
          <w:ilvl w:val="0"/>
          <w:numId w:val="15"/>
        </w:numPr>
        <w:suppressAutoHyphens/>
        <w:spacing w:before="60"/>
        <w:ind w:left="641" w:hanging="357"/>
        <w:jc w:val="center"/>
        <w:rPr>
          <w:rFonts w:cs="Calibri"/>
          <w:b/>
          <w:sz w:val="20"/>
          <w:szCs w:val="20"/>
          <w:lang w:eastAsia="ar-SA"/>
        </w:rPr>
      </w:pPr>
      <w:r w:rsidRPr="00E826D2">
        <w:rPr>
          <w:rFonts w:cs="Calibri"/>
          <w:b/>
          <w:sz w:val="20"/>
          <w:szCs w:val="20"/>
          <w:lang w:eastAsia="ar-SA"/>
        </w:rPr>
        <w:t>ЮРИДИЧЕСКИЕ АДРЕСА, РЕКВИЗИТЫ И ПОДПИСИ СТОРОН</w:t>
      </w:r>
    </w:p>
    <w:p w:rsidR="00E826D2" w:rsidRPr="00E826D2" w:rsidRDefault="00E826D2" w:rsidP="00E826D2">
      <w:pPr>
        <w:pStyle w:val="a3"/>
        <w:suppressAutoHyphens/>
        <w:ind w:left="644"/>
        <w:rPr>
          <w:rFonts w:cs="Calibri"/>
          <w:b/>
          <w:sz w:val="20"/>
          <w:szCs w:val="20"/>
          <w:lang w:eastAsia="ar-SA"/>
        </w:rPr>
      </w:pPr>
    </w:p>
    <w:tbl>
      <w:tblPr>
        <w:tblW w:w="0" w:type="auto"/>
        <w:tblInd w:w="322" w:type="dxa"/>
        <w:tblLayout w:type="fixed"/>
        <w:tblLook w:val="0000" w:firstRow="0" w:lastRow="0" w:firstColumn="0" w:lastColumn="0" w:noHBand="0" w:noVBand="0"/>
      </w:tblPr>
      <w:tblGrid>
        <w:gridCol w:w="4785"/>
        <w:gridCol w:w="4785"/>
      </w:tblGrid>
      <w:tr w:rsidR="00D454E3" w:rsidRPr="00E826D2" w:rsidTr="000A74E1">
        <w:trPr>
          <w:trHeight w:val="2217"/>
        </w:trPr>
        <w:tc>
          <w:tcPr>
            <w:tcW w:w="4785" w:type="dxa"/>
          </w:tcPr>
          <w:p w:rsidR="00EF64C2" w:rsidRPr="00E826D2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Оператор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ООО «МХ 1»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4200</w:t>
            </w:r>
            <w:r w:rsidR="00A55ECF" w:rsidRPr="00E826D2">
              <w:rPr>
                <w:rFonts w:ascii="Times New Roman" w:eastAsia="Times New Roman" w:hAnsi="Times New Roman" w:cs="Calibri"/>
                <w:lang w:eastAsia="ar-SA"/>
              </w:rPr>
              <w:t>21</w:t>
            </w: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, РТ, г. Казань, 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ул. </w:t>
            </w:r>
            <w:r w:rsidR="00A55ECF" w:rsidRPr="00E826D2">
              <w:rPr>
                <w:rFonts w:ascii="Times New Roman" w:eastAsia="Times New Roman" w:hAnsi="Times New Roman" w:cs="Calibri"/>
                <w:lang w:eastAsia="ar-SA"/>
              </w:rPr>
              <w:t>Парижской Коммуны, д.25/39, пом.1501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Почт. адрес: 420097, г. Казань, а/я 32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ИНН 1655080792 КПП 165501001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Р/с № 40702810200090007703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в ООО Банк "Аверс" г. Казани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К/с № 30101810500000000774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БИК 049205774</w:t>
            </w:r>
          </w:p>
        </w:tc>
        <w:tc>
          <w:tcPr>
            <w:tcW w:w="4785" w:type="dxa"/>
          </w:tcPr>
          <w:p w:rsidR="00EF64C2" w:rsidRPr="00E826D2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Клиент</w:t>
            </w:r>
          </w:p>
          <w:sdt>
            <w:sdtPr>
              <w:rPr>
                <w:rFonts w:ascii="Times New Roman" w:eastAsia="Times New Roman" w:hAnsi="Times New Roman" w:cs="Calibri"/>
                <w:b/>
                <w:lang w:eastAsia="ar-SA"/>
              </w:rPr>
              <w:id w:val="1595825257"/>
              <w:placeholder>
                <w:docPart w:val="DefaultPlaceholder_1081868574"/>
              </w:placeholder>
            </w:sdtPr>
            <w:sdtEndPr/>
            <w:sdtContent>
              <w:bookmarkStart w:id="0" w:name="_GoBack" w:displacedByCustomXml="prev"/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A55ECF" w:rsidRPr="00E826D2" w:rsidRDefault="00EF64C2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lang w:eastAsia="ar-SA"/>
                  </w:rPr>
                </w:pPr>
                <w:r w:rsidRPr="00E826D2">
                  <w:rPr>
                    <w:rFonts w:ascii="Times New Roman" w:eastAsia="Times New Roman" w:hAnsi="Times New Roman" w:cs="Calibri"/>
                    <w:b/>
                    <w:highlight w:val="yellow"/>
                    <w:lang w:eastAsia="ar-SA"/>
                  </w:rPr>
                  <w:t>_________________________________________</w:t>
                </w:r>
              </w:p>
              <w:p w:rsidR="00EF64C2" w:rsidRPr="00E826D2" w:rsidRDefault="00D533C4" w:rsidP="000A74E1">
                <w:pPr>
                  <w:tabs>
                    <w:tab w:val="left" w:pos="450"/>
                  </w:tabs>
                  <w:suppressAutoHyphens/>
                  <w:spacing w:after="0" w:line="240" w:lineRule="auto"/>
                  <w:rPr>
                    <w:rFonts w:ascii="Times New Roman" w:eastAsia="Times New Roman" w:hAnsi="Times New Roman" w:cs="Calibri"/>
                    <w:b/>
                    <w:lang w:eastAsia="ar-SA"/>
                  </w:rPr>
                </w:pPr>
              </w:p>
              <w:bookmarkEnd w:id="0" w:displacedByCustomXml="next"/>
            </w:sdtContent>
          </w:sdt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</w:tc>
      </w:tr>
      <w:tr w:rsidR="00EF64C2" w:rsidRPr="00E826D2" w:rsidTr="000A74E1">
        <w:trPr>
          <w:trHeight w:val="936"/>
        </w:trPr>
        <w:tc>
          <w:tcPr>
            <w:tcW w:w="4785" w:type="dxa"/>
          </w:tcPr>
          <w:p w:rsidR="00EF64C2" w:rsidRPr="00E826D2" w:rsidRDefault="00EF64C2" w:rsidP="000A74E1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_______________ /А.А.</w:t>
            </w:r>
            <w:r w:rsidR="00B81887" w:rsidRPr="00E826D2">
              <w:rPr>
                <w:rFonts w:ascii="Times New Roman" w:eastAsia="Times New Roman" w:hAnsi="Times New Roman" w:cs="Calibri"/>
                <w:b/>
                <w:lang w:eastAsia="ar-SA"/>
              </w:rPr>
              <w:t xml:space="preserve"> </w:t>
            </w: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>Гуров/</w:t>
            </w: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</w:p>
          <w:p w:rsidR="00EF64C2" w:rsidRPr="00E826D2" w:rsidRDefault="00EF64C2" w:rsidP="000A74E1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«____» ____________20__ г. </w:t>
            </w:r>
          </w:p>
          <w:p w:rsidR="00EF64C2" w:rsidRPr="00E826D2" w:rsidRDefault="00EF64C2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                    М.П.</w:t>
            </w:r>
            <w:r w:rsidR="00F33C53" w:rsidRPr="00E826D2">
              <w:rPr>
                <w:rFonts w:ascii="Times New Roman" w:eastAsia="Times New Roman" w:hAnsi="Times New Roman" w:cs="Calibri"/>
                <w:lang w:eastAsia="ar-SA"/>
              </w:rPr>
              <w:t xml:space="preserve"> </w:t>
            </w:r>
          </w:p>
        </w:tc>
        <w:tc>
          <w:tcPr>
            <w:tcW w:w="4785" w:type="dxa"/>
          </w:tcPr>
          <w:p w:rsidR="00EF64C2" w:rsidRPr="00E826D2" w:rsidRDefault="00EF64C2" w:rsidP="000A74E1">
            <w:pPr>
              <w:tabs>
                <w:tab w:val="left" w:pos="450"/>
              </w:tabs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</w:p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b/>
                <w:lang w:eastAsia="ar-SA"/>
              </w:rPr>
              <w:t xml:space="preserve">________________ </w:t>
            </w:r>
            <w:sdt>
              <w:sdtPr>
                <w:rPr>
                  <w:rFonts w:ascii="Times New Roman" w:eastAsia="Times New Roman" w:hAnsi="Times New Roman" w:cs="Calibri"/>
                  <w:b/>
                  <w:lang w:eastAsia="ar-SA"/>
                </w:rPr>
                <w:id w:val="-2123140864"/>
                <w:placeholder>
                  <w:docPart w:val="DefaultPlaceholder_1081868574"/>
                </w:placeholder>
              </w:sdtPr>
              <w:sdtEndPr/>
              <w:sdtContent>
                <w:r w:rsidRPr="00E826D2">
                  <w:rPr>
                    <w:rFonts w:ascii="Times New Roman" w:eastAsia="Times New Roman" w:hAnsi="Times New Roman" w:cs="Calibri"/>
                    <w:b/>
                    <w:lang w:eastAsia="ar-SA"/>
                  </w:rPr>
                  <w:t>/_______________________/</w:t>
                </w:r>
              </w:sdtContent>
            </w:sdt>
          </w:p>
          <w:p w:rsidR="00EF64C2" w:rsidRPr="00E826D2" w:rsidRDefault="00EF64C2" w:rsidP="000A74E1">
            <w:pPr>
              <w:tabs>
                <w:tab w:val="left" w:pos="450"/>
              </w:tabs>
              <w:suppressAutoHyphens/>
              <w:spacing w:after="0" w:line="240" w:lineRule="auto"/>
              <w:rPr>
                <w:rFonts w:ascii="Times New Roman" w:eastAsia="Times New Roman" w:hAnsi="Times New Roman" w:cs="Calibri"/>
                <w:b/>
                <w:lang w:eastAsia="ar-SA"/>
              </w:rPr>
            </w:pPr>
          </w:p>
          <w:p w:rsidR="00F33C53" w:rsidRPr="00E826D2" w:rsidRDefault="00FE3B1F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>«____» ____________ 20</w:t>
            </w:r>
            <w:r w:rsidR="00EF64C2" w:rsidRPr="00E826D2">
              <w:rPr>
                <w:rFonts w:ascii="Times New Roman" w:eastAsia="Times New Roman" w:hAnsi="Times New Roman" w:cs="Calibri"/>
                <w:lang w:eastAsia="ar-SA"/>
              </w:rPr>
              <w:t xml:space="preserve">__ г.    </w:t>
            </w:r>
          </w:p>
          <w:p w:rsidR="00EF64C2" w:rsidRPr="00E826D2" w:rsidRDefault="00F33C53" w:rsidP="00F33C53">
            <w:pPr>
              <w:suppressAutoHyphens/>
              <w:spacing w:after="0" w:line="240" w:lineRule="auto"/>
              <w:rPr>
                <w:rFonts w:ascii="Times New Roman" w:eastAsia="Times New Roman" w:hAnsi="Times New Roman" w:cs="Calibri"/>
                <w:lang w:eastAsia="ar-SA"/>
              </w:rPr>
            </w:pPr>
            <w:r w:rsidRPr="00E826D2">
              <w:rPr>
                <w:rFonts w:ascii="Times New Roman" w:eastAsia="Times New Roman" w:hAnsi="Times New Roman" w:cs="Calibri"/>
                <w:lang w:eastAsia="ar-SA"/>
              </w:rPr>
              <w:t xml:space="preserve">                      </w:t>
            </w:r>
            <w:r w:rsidR="00EF64C2" w:rsidRPr="00E826D2">
              <w:rPr>
                <w:rFonts w:ascii="Times New Roman" w:eastAsia="Times New Roman" w:hAnsi="Times New Roman" w:cs="Calibri"/>
                <w:lang w:eastAsia="ar-SA"/>
              </w:rPr>
              <w:t>М.П.</w:t>
            </w:r>
          </w:p>
        </w:tc>
      </w:tr>
    </w:tbl>
    <w:p w:rsidR="00087524" w:rsidRPr="00D454E3" w:rsidRDefault="00087524" w:rsidP="00F33C53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eastAsia="en-US"/>
        </w:rPr>
      </w:pPr>
    </w:p>
    <w:sectPr w:rsidR="00087524" w:rsidRPr="00D454E3" w:rsidSect="00E826D2">
      <w:type w:val="continuous"/>
      <w:pgSz w:w="11906" w:h="16838"/>
      <w:pgMar w:top="1134" w:right="850" w:bottom="1134" w:left="851" w:header="708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52E5" w:rsidRDefault="002152E5" w:rsidP="00062E30">
      <w:pPr>
        <w:spacing w:after="0" w:line="240" w:lineRule="auto"/>
      </w:pPr>
      <w:r>
        <w:separator/>
      </w:r>
    </w:p>
  </w:endnote>
  <w:end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4B3A" w:rsidRDefault="004D4B3A" w:rsidP="007F547C">
    <w:pPr>
      <w:pStyle w:val="a7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4D4B3A" w:rsidRDefault="004D4B3A" w:rsidP="007F547C">
    <w:pPr>
      <w:pStyle w:val="a7"/>
      <w:ind w:right="360"/>
    </w:pPr>
  </w:p>
  <w:p w:rsidR="00E827E5" w:rsidRDefault="00E827E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pStyle w:val="a7"/>
      <w:jc w:val="center"/>
      <w:rPr>
        <w:b/>
        <w:sz w:val="16"/>
        <w:szCs w:val="16"/>
      </w:rPr>
    </w:pPr>
    <w:r>
      <w:rPr>
        <w:sz w:val="16"/>
        <w:szCs w:val="16"/>
      </w:rPr>
      <w:t xml:space="preserve">Страница </w:t>
    </w:r>
    <w:r>
      <w:rPr>
        <w:b/>
        <w:sz w:val="16"/>
        <w:szCs w:val="16"/>
      </w:rPr>
      <w:fldChar w:fldCharType="begin"/>
    </w:r>
    <w:r>
      <w:rPr>
        <w:b/>
        <w:sz w:val="16"/>
        <w:szCs w:val="16"/>
      </w:rPr>
      <w:instrText xml:space="preserve"> PAGE </w:instrText>
    </w:r>
    <w:r>
      <w:rPr>
        <w:b/>
        <w:sz w:val="16"/>
        <w:szCs w:val="16"/>
      </w:rPr>
      <w:fldChar w:fldCharType="separate"/>
    </w:r>
    <w:r w:rsidR="00D533C4">
      <w:rPr>
        <w:b/>
        <w:noProof/>
        <w:sz w:val="16"/>
        <w:szCs w:val="16"/>
      </w:rPr>
      <w:t>2</w:t>
    </w:r>
    <w:r>
      <w:rPr>
        <w:b/>
        <w:sz w:val="16"/>
        <w:szCs w:val="16"/>
      </w:rPr>
      <w:fldChar w:fldCharType="end"/>
    </w:r>
    <w:r>
      <w:rPr>
        <w:sz w:val="16"/>
        <w:szCs w:val="16"/>
      </w:rPr>
      <w:t xml:space="preserve"> из </w:t>
    </w:r>
    <w:r>
      <w:rPr>
        <w:b/>
        <w:sz w:val="16"/>
        <w:szCs w:val="16"/>
      </w:rPr>
      <w:t>2</w:t>
    </w:r>
    <w:r w:rsidR="00F33C53">
      <w:rPr>
        <w:b/>
        <w:sz w:val="16"/>
        <w:szCs w:val="16"/>
      </w:rPr>
      <w:t xml:space="preserve">. </w:t>
    </w:r>
    <w:r w:rsidR="007E18D8" w:rsidRPr="00C36BE6">
      <w:rPr>
        <w:b/>
        <w:sz w:val="16"/>
        <w:szCs w:val="16"/>
      </w:rPr>
      <w:t xml:space="preserve"> </w:t>
    </w:r>
    <w:r>
      <w:rPr>
        <w:b/>
        <w:sz w:val="16"/>
        <w:szCs w:val="16"/>
      </w:rPr>
      <w:t>Конфиденциально</w:t>
    </w:r>
  </w:p>
  <w:p w:rsidR="006D4344" w:rsidRPr="0094028F" w:rsidRDefault="006D4344" w:rsidP="006D4344">
    <w:pPr>
      <w:pStyle w:val="a7"/>
      <w:ind w:right="360"/>
      <w:rPr>
        <w:i/>
        <w:sz w:val="20"/>
        <w:szCs w:val="20"/>
      </w:rPr>
    </w:pPr>
    <w:r>
      <w:rPr>
        <w:i/>
        <w:sz w:val="20"/>
        <w:szCs w:val="20"/>
      </w:rPr>
      <w:t>Оператор ____________________</w:t>
    </w:r>
    <w:r w:rsidRPr="0094028F">
      <w:rPr>
        <w:i/>
        <w:sz w:val="20"/>
        <w:szCs w:val="20"/>
      </w:rPr>
      <w:t xml:space="preserve">                                      </w:t>
    </w:r>
    <w:r>
      <w:rPr>
        <w:i/>
        <w:sz w:val="20"/>
        <w:szCs w:val="20"/>
      </w:rPr>
      <w:tab/>
    </w:r>
    <w:r w:rsidRPr="0094028F">
      <w:rPr>
        <w:i/>
        <w:sz w:val="20"/>
        <w:szCs w:val="20"/>
      </w:rPr>
      <w:tab/>
      <w:t>Клиент ___________________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sz w:val="16"/>
        <w:szCs w:val="16"/>
        <w:lang w:eastAsia="ar-SA"/>
      </w:rPr>
    </w:pPr>
  </w:p>
  <w:p w:rsidR="006D4344" w:rsidRPr="006D4344" w:rsidRDefault="006D4344" w:rsidP="006D4344">
    <w:pPr>
      <w:suppressAutoHyphens/>
      <w:spacing w:after="0" w:line="240" w:lineRule="auto"/>
      <w:jc w:val="center"/>
      <w:rPr>
        <w:rFonts w:ascii="Times New Roman" w:eastAsia="Times New Roman" w:hAnsi="Times New Roman" w:cs="Calibri"/>
        <w:b/>
        <w:sz w:val="16"/>
        <w:szCs w:val="16"/>
        <w:lang w:eastAsia="ar-SA"/>
      </w:rPr>
    </w:pP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Страница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begin"/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instrText xml:space="preserve"> PAGE </w:instrTex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separate"/>
    </w:r>
    <w:r w:rsidR="00D533C4">
      <w:rPr>
        <w:rFonts w:ascii="Times New Roman" w:eastAsia="Times New Roman" w:hAnsi="Times New Roman" w:cs="Calibri"/>
        <w:b/>
        <w:noProof/>
        <w:sz w:val="16"/>
        <w:szCs w:val="16"/>
        <w:lang w:eastAsia="ar-SA"/>
      </w:rPr>
      <w:t>1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fldChar w:fldCharType="end"/>
    </w:r>
    <w:r w:rsidRPr="006D4344">
      <w:rPr>
        <w:rFonts w:ascii="Times New Roman" w:eastAsia="Times New Roman" w:hAnsi="Times New Roman" w:cs="Calibri"/>
        <w:sz w:val="16"/>
        <w:szCs w:val="16"/>
        <w:lang w:eastAsia="ar-SA"/>
      </w:rPr>
      <w:t xml:space="preserve"> из </w:t>
    </w:r>
    <w:r>
      <w:rPr>
        <w:rFonts w:ascii="Times New Roman" w:eastAsia="Times New Roman" w:hAnsi="Times New Roman" w:cs="Calibri"/>
        <w:b/>
        <w:sz w:val="16"/>
        <w:szCs w:val="16"/>
        <w:lang w:eastAsia="ar-SA"/>
      </w:rPr>
      <w:t>2</w:t>
    </w:r>
    <w:r w:rsidR="00E826D2">
      <w:rPr>
        <w:rFonts w:ascii="Times New Roman" w:eastAsia="Times New Roman" w:hAnsi="Times New Roman" w:cs="Calibri"/>
        <w:b/>
        <w:sz w:val="16"/>
        <w:szCs w:val="16"/>
        <w:lang w:val="en-US" w:eastAsia="ar-SA"/>
      </w:rPr>
      <w:t xml:space="preserve">. </w:t>
    </w:r>
    <w:r w:rsidRPr="006D4344">
      <w:rPr>
        <w:rFonts w:ascii="Times New Roman" w:eastAsia="Times New Roman" w:hAnsi="Times New Roman" w:cs="Calibri"/>
        <w:b/>
        <w:sz w:val="16"/>
        <w:szCs w:val="16"/>
        <w:lang w:eastAsia="ar-SA"/>
      </w:rPr>
      <w:t>Конфиденциально</w:t>
    </w:r>
  </w:p>
  <w:p w:rsidR="006D4344" w:rsidRPr="006D4344" w:rsidRDefault="006D4344" w:rsidP="006D4344">
    <w:pPr>
      <w:suppressAutoHyphens/>
      <w:spacing w:after="0" w:line="240" w:lineRule="auto"/>
      <w:ind w:right="360"/>
      <w:rPr>
        <w:rFonts w:ascii="Times New Roman" w:eastAsia="Times New Roman" w:hAnsi="Times New Roman" w:cs="Calibri"/>
        <w:i/>
        <w:sz w:val="20"/>
        <w:szCs w:val="20"/>
        <w:lang w:eastAsia="ar-SA"/>
      </w:rPr>
    </w:pP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>Оператор ____________________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 xml:space="preserve">                                      </w:t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</w:r>
    <w:r w:rsidRPr="006D4344">
      <w:rPr>
        <w:rFonts w:ascii="Times New Roman" w:eastAsia="Times New Roman" w:hAnsi="Times New Roman" w:cs="Calibri"/>
        <w:i/>
        <w:sz w:val="20"/>
        <w:szCs w:val="20"/>
        <w:lang w:eastAsia="ar-SA"/>
      </w:rPr>
      <w:tab/>
      <w:t>Клиент ___________________</w:t>
    </w:r>
  </w:p>
  <w:p w:rsidR="006D4344" w:rsidRDefault="006D434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52E5" w:rsidRDefault="002152E5" w:rsidP="00062E30">
      <w:pPr>
        <w:spacing w:after="0" w:line="240" w:lineRule="auto"/>
      </w:pPr>
      <w:r>
        <w:separator/>
      </w:r>
    </w:p>
  </w:footnote>
  <w:footnote w:type="continuationSeparator" w:id="0">
    <w:p w:rsidR="002152E5" w:rsidRDefault="002152E5" w:rsidP="00062E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BE8" w:rsidRDefault="00A55ECF">
    <w:pPr>
      <w:pStyle w:val="a5"/>
    </w:pPr>
    <w:r>
      <w:rPr>
        <w:noProof/>
      </w:rPr>
      <w:drawing>
        <wp:inline distT="0" distB="0" distL="0" distR="0" wp14:anchorId="543EB733" wp14:editId="0506F314">
          <wp:extent cx="6623436" cy="949960"/>
          <wp:effectExtent l="0" t="0" r="6350" b="2540"/>
          <wp:docPr id="13" name="Рисунок 13" descr="C:\Users\rsarzhanov\AppData\Local\Microsoft\Windows\INetCache\Content.Word\Шапка бланков для счетов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sarzhanov\AppData\Local\Microsoft\Windows\INetCache\Content.Word\Шапка бланков для счетов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0023" cy="9580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A71E6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 w15:restartNumberingAfterBreak="0">
    <w:nsid w:val="03D11A2C"/>
    <w:multiLevelType w:val="hybridMultilevel"/>
    <w:tmpl w:val="62327B8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6BB5B52"/>
    <w:multiLevelType w:val="multilevel"/>
    <w:tmpl w:val="31387BCC"/>
    <w:lvl w:ilvl="0">
      <w:start w:val="1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1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A9C3252"/>
    <w:multiLevelType w:val="multilevel"/>
    <w:tmpl w:val="58C85F24"/>
    <w:lvl w:ilvl="0">
      <w:start w:val="1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5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00" w:hanging="1440"/>
      </w:pPr>
      <w:rPr>
        <w:rFonts w:hint="default"/>
      </w:rPr>
    </w:lvl>
  </w:abstractNum>
  <w:abstractNum w:abstractNumId="4" w15:restartNumberingAfterBreak="0">
    <w:nsid w:val="0FAE3484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5" w15:restartNumberingAfterBreak="0">
    <w:nsid w:val="1379408D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7DE641A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F78065E"/>
    <w:multiLevelType w:val="multilevel"/>
    <w:tmpl w:val="5D6EB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color w:val="00000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9C82250"/>
    <w:multiLevelType w:val="hybridMultilevel"/>
    <w:tmpl w:val="F7B69D02"/>
    <w:lvl w:ilvl="0" w:tplc="9244A628">
      <w:start w:val="27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F16746A"/>
    <w:multiLevelType w:val="multilevel"/>
    <w:tmpl w:val="C714F534"/>
    <w:lvl w:ilvl="0">
      <w:start w:val="18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616D6503"/>
    <w:multiLevelType w:val="hybridMultilevel"/>
    <w:tmpl w:val="5CC69372"/>
    <w:lvl w:ilvl="0" w:tplc="A20C2CC8">
      <w:start w:val="20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A91133A"/>
    <w:multiLevelType w:val="hybridMultilevel"/>
    <w:tmpl w:val="B23C1AB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927E53"/>
    <w:multiLevelType w:val="hybridMultilevel"/>
    <w:tmpl w:val="21FE58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A2C3C"/>
    <w:multiLevelType w:val="hybridMultilevel"/>
    <w:tmpl w:val="9C528E5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F27BC2"/>
    <w:multiLevelType w:val="multilevel"/>
    <w:tmpl w:val="DFE28F94"/>
    <w:lvl w:ilvl="0">
      <w:start w:val="1"/>
      <w:numFmt w:val="decimal"/>
      <w:lvlText w:val="%1.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num w:numId="1">
    <w:abstractNumId w:val="4"/>
  </w:num>
  <w:num w:numId="2">
    <w:abstractNumId w:val="12"/>
  </w:num>
  <w:num w:numId="3">
    <w:abstractNumId w:val="11"/>
  </w:num>
  <w:num w:numId="4">
    <w:abstractNumId w:val="6"/>
  </w:num>
  <w:num w:numId="5">
    <w:abstractNumId w:val="1"/>
  </w:num>
  <w:num w:numId="6">
    <w:abstractNumId w:val="14"/>
  </w:num>
  <w:num w:numId="7">
    <w:abstractNumId w:val="5"/>
  </w:num>
  <w:num w:numId="8">
    <w:abstractNumId w:val="0"/>
  </w:num>
  <w:num w:numId="9">
    <w:abstractNumId w:val="7"/>
  </w:num>
  <w:num w:numId="10">
    <w:abstractNumId w:val="13"/>
  </w:num>
  <w:num w:numId="11">
    <w:abstractNumId w:val="3"/>
  </w:num>
  <w:num w:numId="12">
    <w:abstractNumId w:val="9"/>
  </w:num>
  <w:num w:numId="13">
    <w:abstractNumId w:val="2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ocumentProtection w:edit="forms" w:enforcement="1" w:cryptProviderType="rsaAES" w:cryptAlgorithmClass="hash" w:cryptAlgorithmType="typeAny" w:cryptAlgorithmSid="14" w:cryptSpinCount="100000" w:hash="A0UqMYL4zT90o+9sBkw1NKbkniMBtfslP7M4yY4qlezq9EPZ4TV9+gUPOBXPXEI/CA85FlrtHpJeEctr14JeTQ==" w:salt="cJnYN/h+1zlsEXH+lQNQPg==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0E2"/>
    <w:rsid w:val="00002840"/>
    <w:rsid w:val="0002401F"/>
    <w:rsid w:val="00062E30"/>
    <w:rsid w:val="0006606D"/>
    <w:rsid w:val="000752ED"/>
    <w:rsid w:val="000858CF"/>
    <w:rsid w:val="00087524"/>
    <w:rsid w:val="000A0397"/>
    <w:rsid w:val="000A1898"/>
    <w:rsid w:val="001721B4"/>
    <w:rsid w:val="00186D88"/>
    <w:rsid w:val="00191DBF"/>
    <w:rsid w:val="001A5C4E"/>
    <w:rsid w:val="001C119D"/>
    <w:rsid w:val="001E1AE2"/>
    <w:rsid w:val="00200A33"/>
    <w:rsid w:val="002152E5"/>
    <w:rsid w:val="0026388D"/>
    <w:rsid w:val="00273014"/>
    <w:rsid w:val="00287990"/>
    <w:rsid w:val="002D544F"/>
    <w:rsid w:val="002F6EC8"/>
    <w:rsid w:val="00331A2F"/>
    <w:rsid w:val="00356206"/>
    <w:rsid w:val="0039456D"/>
    <w:rsid w:val="0040371F"/>
    <w:rsid w:val="004160CE"/>
    <w:rsid w:val="00442C79"/>
    <w:rsid w:val="004436BD"/>
    <w:rsid w:val="00491B09"/>
    <w:rsid w:val="004B57F0"/>
    <w:rsid w:val="004D3921"/>
    <w:rsid w:val="004D4B3A"/>
    <w:rsid w:val="004F2671"/>
    <w:rsid w:val="004F3E61"/>
    <w:rsid w:val="005120E2"/>
    <w:rsid w:val="005122B1"/>
    <w:rsid w:val="00541D64"/>
    <w:rsid w:val="005569A0"/>
    <w:rsid w:val="005C3073"/>
    <w:rsid w:val="006061C8"/>
    <w:rsid w:val="006B367E"/>
    <w:rsid w:val="006D4344"/>
    <w:rsid w:val="006F5910"/>
    <w:rsid w:val="00704EBD"/>
    <w:rsid w:val="0072478B"/>
    <w:rsid w:val="007310BD"/>
    <w:rsid w:val="00742042"/>
    <w:rsid w:val="00750A95"/>
    <w:rsid w:val="007A4648"/>
    <w:rsid w:val="007D1DA3"/>
    <w:rsid w:val="007E18D8"/>
    <w:rsid w:val="007F547C"/>
    <w:rsid w:val="00803056"/>
    <w:rsid w:val="008443C8"/>
    <w:rsid w:val="00903D67"/>
    <w:rsid w:val="009145B7"/>
    <w:rsid w:val="00981770"/>
    <w:rsid w:val="009B1653"/>
    <w:rsid w:val="00A07B3F"/>
    <w:rsid w:val="00A5055E"/>
    <w:rsid w:val="00A55ECF"/>
    <w:rsid w:val="00A63385"/>
    <w:rsid w:val="00AC0B42"/>
    <w:rsid w:val="00AD1836"/>
    <w:rsid w:val="00AF4D6E"/>
    <w:rsid w:val="00B01702"/>
    <w:rsid w:val="00B70A43"/>
    <w:rsid w:val="00B7212F"/>
    <w:rsid w:val="00B81887"/>
    <w:rsid w:val="00BE371B"/>
    <w:rsid w:val="00C208C5"/>
    <w:rsid w:val="00C20E70"/>
    <w:rsid w:val="00C21E75"/>
    <w:rsid w:val="00C34768"/>
    <w:rsid w:val="00C36BE6"/>
    <w:rsid w:val="00C83C86"/>
    <w:rsid w:val="00C84BE8"/>
    <w:rsid w:val="00CA7DFF"/>
    <w:rsid w:val="00CB00C4"/>
    <w:rsid w:val="00CF1F4D"/>
    <w:rsid w:val="00D35ECD"/>
    <w:rsid w:val="00D43ACF"/>
    <w:rsid w:val="00D454E3"/>
    <w:rsid w:val="00D533C4"/>
    <w:rsid w:val="00D8473C"/>
    <w:rsid w:val="00DB49A5"/>
    <w:rsid w:val="00DB69C5"/>
    <w:rsid w:val="00DC0953"/>
    <w:rsid w:val="00DC775E"/>
    <w:rsid w:val="00DF20D3"/>
    <w:rsid w:val="00E217AF"/>
    <w:rsid w:val="00E47DCC"/>
    <w:rsid w:val="00E826D2"/>
    <w:rsid w:val="00E827E5"/>
    <w:rsid w:val="00ED228F"/>
    <w:rsid w:val="00EE43F5"/>
    <w:rsid w:val="00EF64C2"/>
    <w:rsid w:val="00F33C53"/>
    <w:rsid w:val="00F42BD5"/>
    <w:rsid w:val="00FC6DED"/>
    <w:rsid w:val="00FE3B1F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5F3EEA2B-DA1D-4C84-AF5A-BD275864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7DCC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E3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062E3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62E30"/>
    <w:rPr>
      <w:rFonts w:eastAsiaTheme="minorEastAsia"/>
      <w:lang w:eastAsia="ru-RU"/>
    </w:rPr>
  </w:style>
  <w:style w:type="paragraph" w:styleId="a7">
    <w:name w:val="footer"/>
    <w:basedOn w:val="a"/>
    <w:link w:val="a8"/>
    <w:unhideWhenUsed/>
    <w:rsid w:val="00062E3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rsid w:val="00062E30"/>
    <w:rPr>
      <w:rFonts w:eastAsiaTheme="minorEastAsia"/>
      <w:lang w:eastAsia="ru-RU"/>
    </w:rPr>
  </w:style>
  <w:style w:type="table" w:styleId="a9">
    <w:name w:val="Table Grid"/>
    <w:basedOn w:val="a1"/>
    <w:uiPriority w:val="59"/>
    <w:rsid w:val="00062E3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Style0">
    <w:name w:val="TableStyle0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rsid w:val="00062E30"/>
    <w:pPr>
      <w:spacing w:after="0" w:line="240" w:lineRule="auto"/>
    </w:pPr>
    <w:rPr>
      <w:rFonts w:ascii="Arial" w:eastAsiaTheme="minorEastAsia" w:hAnsi="Arial"/>
      <w:sz w:val="16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CStyle30">
    <w:name w:val="1CStyle3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4">
    <w:name w:val="1CStyle1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13">
    <w:name w:val="1CStyle13"/>
    <w:rsid w:val="00062E30"/>
    <w:pPr>
      <w:jc w:val="center"/>
    </w:pPr>
    <w:rPr>
      <w:rFonts w:ascii="Arial" w:eastAsiaTheme="minorEastAsia" w:hAnsi="Arial"/>
      <w:b/>
      <w:sz w:val="28"/>
      <w:lang w:eastAsia="ru-RU"/>
    </w:rPr>
  </w:style>
  <w:style w:type="paragraph" w:customStyle="1" w:styleId="1CStyle8">
    <w:name w:val="1CStyle8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">
    <w:name w:val="1CStyle2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7">
    <w:name w:val="1CStyle27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6">
    <w:name w:val="1CStyle16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9">
    <w:name w:val="1CStyle19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7">
    <w:name w:val="1CStyle17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0">
    <w:name w:val="1CStyle20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1">
    <w:name w:val="1CStyle21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15">
    <w:name w:val="1CStyle15"/>
    <w:rsid w:val="00062E30"/>
    <w:pPr>
      <w:jc w:val="center"/>
    </w:pPr>
    <w:rPr>
      <w:rFonts w:ascii="Arial" w:eastAsiaTheme="minorEastAsia" w:hAnsi="Arial"/>
      <w:b/>
      <w:sz w:val="18"/>
      <w:lang w:eastAsia="ru-RU"/>
    </w:rPr>
  </w:style>
  <w:style w:type="paragraph" w:customStyle="1" w:styleId="1CStyle23">
    <w:name w:val="1CStyle23"/>
    <w:rsid w:val="00062E30"/>
    <w:pPr>
      <w:jc w:val="center"/>
    </w:pPr>
    <w:rPr>
      <w:rFonts w:eastAsiaTheme="minorEastAsia"/>
      <w:lang w:eastAsia="ru-RU"/>
    </w:rPr>
  </w:style>
  <w:style w:type="paragraph" w:customStyle="1" w:styleId="1CStyle10">
    <w:name w:val="1CStyle10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2">
    <w:name w:val="1CStyle22"/>
    <w:rsid w:val="00062E30"/>
    <w:pPr>
      <w:wordWrap w:val="0"/>
      <w:jc w:val="center"/>
    </w:pPr>
    <w:rPr>
      <w:rFonts w:eastAsiaTheme="minorEastAsia"/>
      <w:lang w:eastAsia="ru-RU"/>
    </w:rPr>
  </w:style>
  <w:style w:type="paragraph" w:customStyle="1" w:styleId="1CStyle7">
    <w:name w:val="1CStyle7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4">
    <w:name w:val="1CStyle4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9">
    <w:name w:val="1CStyle29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11">
    <w:name w:val="1CStyle11"/>
    <w:rsid w:val="00062E30"/>
    <w:pPr>
      <w:jc w:val="center"/>
    </w:pPr>
    <w:rPr>
      <w:rFonts w:ascii="Arial" w:eastAsiaTheme="minorEastAsia" w:hAnsi="Arial"/>
      <w:sz w:val="18"/>
      <w:lang w:eastAsia="ru-RU"/>
    </w:rPr>
  </w:style>
  <w:style w:type="paragraph" w:customStyle="1" w:styleId="1CStyle28">
    <w:name w:val="1CStyle28"/>
    <w:rsid w:val="00062E30"/>
    <w:pPr>
      <w:jc w:val="right"/>
    </w:pPr>
    <w:rPr>
      <w:rFonts w:ascii="Arial" w:eastAsiaTheme="minorEastAsia" w:hAnsi="Arial"/>
      <w:b/>
      <w:sz w:val="18"/>
      <w:lang w:eastAsia="ru-RU"/>
    </w:rPr>
  </w:style>
  <w:style w:type="paragraph" w:customStyle="1" w:styleId="1CStyle25">
    <w:name w:val="1CStyle25"/>
    <w:rsid w:val="00062E30"/>
    <w:pPr>
      <w:jc w:val="right"/>
    </w:pPr>
    <w:rPr>
      <w:rFonts w:eastAsiaTheme="minorEastAsia"/>
      <w:lang w:eastAsia="ru-RU"/>
    </w:rPr>
  </w:style>
  <w:style w:type="paragraph" w:customStyle="1" w:styleId="1CStyle26">
    <w:name w:val="1CStyle26"/>
    <w:rsid w:val="00062E30"/>
    <w:pPr>
      <w:jc w:val="right"/>
    </w:pPr>
    <w:rPr>
      <w:rFonts w:eastAsiaTheme="minorEastAsia"/>
      <w:lang w:eastAsia="ru-RU"/>
    </w:rPr>
  </w:style>
  <w:style w:type="character" w:styleId="aa">
    <w:name w:val="Placeholder Text"/>
    <w:basedOn w:val="a0"/>
    <w:uiPriority w:val="99"/>
    <w:semiHidden/>
    <w:rsid w:val="00062E30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8443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443C8"/>
    <w:rPr>
      <w:rFonts w:ascii="Segoe UI" w:eastAsiaTheme="minorEastAsia" w:hAnsi="Segoe UI" w:cs="Segoe UI"/>
      <w:sz w:val="18"/>
      <w:szCs w:val="18"/>
      <w:lang w:eastAsia="ru-RU"/>
    </w:rPr>
  </w:style>
  <w:style w:type="character" w:styleId="ad">
    <w:name w:val="annotation reference"/>
    <w:basedOn w:val="a0"/>
    <w:uiPriority w:val="99"/>
    <w:semiHidden/>
    <w:unhideWhenUsed/>
    <w:rsid w:val="007310B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310BD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310BD"/>
    <w:rPr>
      <w:rFonts w:eastAsiaTheme="minorEastAsia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310B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310BD"/>
    <w:rPr>
      <w:rFonts w:eastAsiaTheme="minorEastAsia"/>
      <w:b/>
      <w:bCs/>
      <w:sz w:val="20"/>
      <w:szCs w:val="20"/>
      <w:lang w:eastAsia="ru-RU"/>
    </w:rPr>
  </w:style>
  <w:style w:type="paragraph" w:styleId="af2">
    <w:name w:val="Body Text Indent"/>
    <w:basedOn w:val="a"/>
    <w:link w:val="af3"/>
    <w:uiPriority w:val="99"/>
    <w:unhideWhenUsed/>
    <w:rsid w:val="005122B1"/>
    <w:pPr>
      <w:tabs>
        <w:tab w:val="left" w:pos="426"/>
      </w:tabs>
      <w:ind w:firstLine="284"/>
      <w:jc w:val="both"/>
    </w:pPr>
    <w:rPr>
      <w:rFonts w:cs="Arial"/>
      <w:sz w:val="18"/>
      <w:szCs w:val="18"/>
    </w:rPr>
  </w:style>
  <w:style w:type="character" w:customStyle="1" w:styleId="af3">
    <w:name w:val="Основной текст с отступом Знак"/>
    <w:basedOn w:val="a0"/>
    <w:link w:val="af2"/>
    <w:uiPriority w:val="99"/>
    <w:rsid w:val="005122B1"/>
    <w:rPr>
      <w:rFonts w:eastAsiaTheme="minorEastAsia" w:cs="Arial"/>
      <w:sz w:val="18"/>
      <w:szCs w:val="18"/>
      <w:lang w:eastAsia="ru-RU"/>
    </w:rPr>
  </w:style>
  <w:style w:type="character" w:styleId="af4">
    <w:name w:val="page number"/>
    <w:basedOn w:val="a0"/>
    <w:rsid w:val="00273014"/>
  </w:style>
  <w:style w:type="paragraph" w:styleId="af5">
    <w:name w:val="Body Text"/>
    <w:basedOn w:val="a"/>
    <w:link w:val="af6"/>
    <w:uiPriority w:val="99"/>
    <w:unhideWhenUsed/>
    <w:rsid w:val="009145B7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i/>
      <w:sz w:val="24"/>
      <w:szCs w:val="28"/>
    </w:rPr>
  </w:style>
  <w:style w:type="character" w:customStyle="1" w:styleId="af6">
    <w:name w:val="Основной текст Знак"/>
    <w:basedOn w:val="a0"/>
    <w:link w:val="af5"/>
    <w:uiPriority w:val="99"/>
    <w:rsid w:val="009145B7"/>
    <w:rPr>
      <w:rFonts w:ascii="Times New Roman" w:eastAsia="Times New Roman" w:hAnsi="Times New Roman" w:cs="Times New Roman"/>
      <w:i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06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hyperlink" Target="http://www.onlinecontrac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nlinecontract.r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972D72-0991-424F-8D19-13DC6711E101}"/>
      </w:docPartPr>
      <w:docPartBody>
        <w:p w:rsidR="00E47308" w:rsidRDefault="00F60846">
          <w:r w:rsidRPr="00F37B57">
            <w:rPr>
              <w:rStyle w:val="a3"/>
              <w:rPrChange w:id="0" w:author="Аминова Альбина Рустамовна" w:date="2015-05-05T11:00:00Z">
                <w:rPr>
                  <w:rFonts w:eastAsiaTheme="minorHAnsi"/>
                  <w:lang w:eastAsia="en-US"/>
                </w:rPr>
              </w:rPrChange>
            </w:rPr>
            <w:t>Место для ввода текста.</w:t>
          </w:r>
        </w:p>
      </w:docPartBody>
    </w:docPart>
    <w:docPart>
      <w:docPartPr>
        <w:name w:val="DefaultPlaceholder_10818685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957CD6-723D-4E97-8DF1-9BC63BC9C80A}"/>
      </w:docPartPr>
      <w:docPartBody>
        <w:p w:rsidR="00E47308" w:rsidRDefault="00F60846">
          <w:r w:rsidRPr="00F37B57">
            <w:rPr>
              <w:rStyle w:val="a3"/>
              <w:rPrChange w:id="1" w:author="Аминова Альбина Рустамовна" w:date="2015-05-05T11:01:00Z">
                <w:rPr>
                  <w:rFonts w:eastAsiaTheme="minorHAnsi"/>
                  <w:lang w:eastAsia="en-US"/>
                </w:rPr>
              </w:rPrChange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8B5"/>
    <w:rsid w:val="000D6820"/>
    <w:rsid w:val="00484346"/>
    <w:rsid w:val="00485A9C"/>
    <w:rsid w:val="004B6D65"/>
    <w:rsid w:val="00934ADC"/>
    <w:rsid w:val="009D4C17"/>
    <w:rsid w:val="00C372D3"/>
    <w:rsid w:val="00D73155"/>
    <w:rsid w:val="00DA4733"/>
    <w:rsid w:val="00E47308"/>
    <w:rsid w:val="00E73BD2"/>
    <w:rsid w:val="00EB28B5"/>
    <w:rsid w:val="00F3445F"/>
    <w:rsid w:val="00F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73BD2"/>
    <w:rPr>
      <w:color w:val="808080"/>
    </w:rPr>
  </w:style>
  <w:style w:type="paragraph" w:customStyle="1" w:styleId="061B9090F3A7446E94E3075B47032A39">
    <w:name w:val="061B9090F3A7446E94E3075B47032A39"/>
    <w:rsid w:val="00EB28B5"/>
  </w:style>
  <w:style w:type="paragraph" w:customStyle="1" w:styleId="BAD75C77B67349F2BC399080EC6F577E">
    <w:name w:val="BAD75C77B67349F2BC399080EC6F577E"/>
    <w:rsid w:val="00EB28B5"/>
  </w:style>
  <w:style w:type="paragraph" w:customStyle="1" w:styleId="45CE8C735AE34ED3941045EEC766E396">
    <w:name w:val="45CE8C735AE34ED3941045EEC766E396"/>
    <w:rsid w:val="00EB28B5"/>
  </w:style>
  <w:style w:type="paragraph" w:customStyle="1" w:styleId="55DFA477F89045FCBAEB66AEDE140F98">
    <w:name w:val="55DFA477F89045FCBAEB66AEDE140F98"/>
    <w:rsid w:val="00EB28B5"/>
  </w:style>
  <w:style w:type="paragraph" w:customStyle="1" w:styleId="310E88625B324AE49B00BA3837DFA609">
    <w:name w:val="310E88625B324AE49B00BA3837DFA609"/>
    <w:rsid w:val="000D6820"/>
  </w:style>
  <w:style w:type="paragraph" w:customStyle="1" w:styleId="4BE82F8F329C4D47A12BC09FBEC12F25">
    <w:name w:val="4BE82F8F329C4D47A12BC09FBEC12F25"/>
    <w:rsid w:val="000D6820"/>
  </w:style>
  <w:style w:type="paragraph" w:customStyle="1" w:styleId="602B69148E254E38A270BBE8CF52887D">
    <w:name w:val="602B69148E254E38A270BBE8CF52887D"/>
    <w:rsid w:val="000D6820"/>
  </w:style>
  <w:style w:type="paragraph" w:customStyle="1" w:styleId="DAFA77584D814B5B97036D8F7DD2ADCE">
    <w:name w:val="DAFA77584D814B5B97036D8F7DD2ADCE"/>
    <w:rsid w:val="000D6820"/>
  </w:style>
  <w:style w:type="paragraph" w:customStyle="1" w:styleId="4E860F98CD924929B975AE39101F4F43">
    <w:name w:val="4E860F98CD924929B975AE39101F4F43"/>
    <w:rsid w:val="00C372D3"/>
  </w:style>
  <w:style w:type="paragraph" w:customStyle="1" w:styleId="7CA00D372F6A4D21910AF88DA99E9864">
    <w:name w:val="7CA00D372F6A4D21910AF88DA99E9864"/>
    <w:rsid w:val="00DA4733"/>
  </w:style>
  <w:style w:type="paragraph" w:customStyle="1" w:styleId="A8E49DB0A525483B82F9090F5F03C41A">
    <w:name w:val="A8E49DB0A525483B82F9090F5F03C41A"/>
    <w:rsid w:val="00DA4733"/>
  </w:style>
  <w:style w:type="paragraph" w:customStyle="1" w:styleId="ABF0B00D88934FE097EFA73D1EF6D66A">
    <w:name w:val="ABF0B00D88934FE097EFA73D1EF6D66A"/>
    <w:rsid w:val="00DA4733"/>
  </w:style>
  <w:style w:type="paragraph" w:customStyle="1" w:styleId="2838CA49DD98496CBE45A9D5E5B7E2BD">
    <w:name w:val="2838CA49DD98496CBE45A9D5E5B7E2BD"/>
    <w:rsid w:val="00DA4733"/>
  </w:style>
  <w:style w:type="paragraph" w:customStyle="1" w:styleId="5717DEADC3F347CD9A0032F9687C1ABF">
    <w:name w:val="5717DEADC3F347CD9A0032F9687C1ABF"/>
    <w:rsid w:val="00DA4733"/>
  </w:style>
  <w:style w:type="paragraph" w:customStyle="1" w:styleId="D3203512E6BF41B2844FD200A0DE66E2">
    <w:name w:val="D3203512E6BF41B2844FD200A0DE66E2"/>
    <w:rsid w:val="00E73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1601</Words>
  <Characters>9128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Аминова Альбина Рустамовна</dc:creator>
  <cp:lastModifiedBy>Саржанов Руслан Рамисович</cp:lastModifiedBy>
  <cp:revision>3</cp:revision>
  <cp:lastPrinted>2015-05-05T09:46:00Z</cp:lastPrinted>
  <dcterms:created xsi:type="dcterms:W3CDTF">2022-04-22T11:27:00Z</dcterms:created>
  <dcterms:modified xsi:type="dcterms:W3CDTF">2022-04-22T11:27:00Z</dcterms:modified>
</cp:coreProperties>
</file>