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E8" w:rsidRPr="000A0397" w:rsidRDefault="00C84BE8" w:rsidP="00C84BE8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 xml:space="preserve">Соглашение о присоединении к Правилам работы в Системе </w:t>
      </w:r>
      <w:r w:rsidR="000A0397" w:rsidRPr="000A0397">
        <w:rPr>
          <w:rFonts w:ascii="Times New Roman" w:eastAsia="Times New Roman" w:hAnsi="Times New Roman" w:cs="Calibri"/>
          <w:b/>
          <w:lang w:eastAsia="ar-SA"/>
        </w:rPr>
        <w:t>«</w:t>
      </w:r>
      <w:r w:rsidR="000A0397" w:rsidRPr="000A0397">
        <w:rPr>
          <w:rFonts w:ascii="Times New Roman" w:eastAsia="Times New Roman" w:hAnsi="Times New Roman" w:cs="Calibri"/>
          <w:b/>
          <w:lang w:val="en-US" w:eastAsia="ar-SA"/>
        </w:rPr>
        <w:t>Onlinecontract</w:t>
      </w:r>
      <w:r w:rsidR="000A0397" w:rsidRPr="000A0397">
        <w:rPr>
          <w:rFonts w:ascii="Times New Roman" w:eastAsia="Times New Roman" w:hAnsi="Times New Roman" w:cs="Calibri"/>
          <w:b/>
          <w:lang w:eastAsia="ar-SA"/>
        </w:rPr>
        <w:t>»</w:t>
      </w:r>
    </w:p>
    <w:p w:rsidR="00C84BE8" w:rsidRPr="000A0397" w:rsidRDefault="00C84BE8" w:rsidP="00C84BE8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>и об обеспечении заявки на участие</w:t>
      </w:r>
    </w:p>
    <w:p w:rsidR="00C84BE8" w:rsidRPr="000A0397" w:rsidRDefault="00C84BE8" w:rsidP="00C84BE8">
      <w:pPr>
        <w:suppressAutoHyphens/>
        <w:spacing w:before="240" w:after="240" w:line="240" w:lineRule="auto"/>
        <w:ind w:firstLine="709"/>
        <w:rPr>
          <w:rFonts w:ascii="Times New Roman" w:eastAsia="Times New Roman" w:hAnsi="Times New Roman" w:cs="Calibri"/>
          <w:b/>
          <w:lang w:eastAsia="ar-SA"/>
        </w:rPr>
      </w:pPr>
      <w:r w:rsidRPr="000A0397">
        <w:rPr>
          <w:rFonts w:ascii="Times New Roman" w:eastAsia="Times New Roman" w:hAnsi="Times New Roman" w:cs="Calibri"/>
          <w:b/>
          <w:lang w:eastAsia="ar-SA"/>
        </w:rPr>
        <w:t>г. Казань</w:t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</w:r>
      <w:r w:rsidRPr="000A0397">
        <w:rPr>
          <w:rFonts w:ascii="Times New Roman" w:eastAsia="Times New Roman" w:hAnsi="Times New Roman" w:cs="Calibri"/>
          <w:b/>
          <w:lang w:eastAsia="ar-SA"/>
        </w:rPr>
        <w:tab/>
        <w:t xml:space="preserve">                     </w:t>
      </w:r>
      <w:sdt>
        <w:sdtPr>
          <w:rPr>
            <w:rFonts w:ascii="Times New Roman" w:eastAsia="Times New Roman" w:hAnsi="Times New Roman" w:cs="Calibri"/>
            <w:b/>
            <w:lang w:eastAsia="ar-SA"/>
          </w:rPr>
          <w:id w:val="179554836"/>
          <w:placeholder>
            <w:docPart w:val="DefaultPlaceholder_108186857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даты.</w:t>
          </w:r>
        </w:sdtContent>
      </w:sdt>
    </w:p>
    <w:p w:rsidR="00EF64C2" w:rsidRPr="000A0397" w:rsidRDefault="00EF64C2" w:rsidP="00EF64C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Общество с ограниченной ответственностью «МХ 1»,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именуемое в дальнейшем 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Оператор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», в лице директора Гурова Александра Андреевича, действующего на основании Устава, с одной стороны, и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510572893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именуемое в дальнейшем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«Клиент»,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 лице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-1561702402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 xml:space="preserve">Место для ввода </w:t>
          </w:r>
          <w:proofErr w:type="gramStart"/>
          <w:r w:rsidR="00FF44C6" w:rsidRPr="000A0397">
            <w:rPr>
              <w:rStyle w:val="aa"/>
              <w:color w:val="auto"/>
            </w:rPr>
            <w:t>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proofErr w:type="gramEnd"/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действующего на основании </w:t>
      </w:r>
      <w:sdt>
        <w:sdtPr>
          <w:rPr>
            <w:rFonts w:ascii="Times New Roman" w:eastAsia="Times New Roman" w:hAnsi="Times New Roman" w:cs="Calibri"/>
            <w:sz w:val="21"/>
            <w:szCs w:val="21"/>
            <w:lang w:eastAsia="ar-SA"/>
          </w:rPr>
          <w:id w:val="-1760590189"/>
          <w:placeholder>
            <w:docPart w:val="DefaultPlaceholder_1081868574"/>
          </w:placeholder>
          <w:showingPlcHdr/>
        </w:sdtPr>
        <w:sdtEndPr/>
        <w:sdtContent>
          <w:r w:rsidR="00FF44C6" w:rsidRPr="000A0397">
            <w:rPr>
              <w:rStyle w:val="aa"/>
              <w:color w:val="auto"/>
            </w:rPr>
            <w:t>Место для ввода текста.</w:t>
          </w:r>
        </w:sdtContent>
      </w:sdt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с другой стороны, заключили настоящее соглашение о нижеследующем:</w:t>
      </w:r>
    </w:p>
    <w:p w:rsidR="006D4344" w:rsidRPr="000A0397" w:rsidRDefault="006D4344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</w:p>
    <w:p w:rsidR="002D544F" w:rsidRPr="000A0397" w:rsidRDefault="002D544F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  <w:sectPr w:rsidR="002D544F" w:rsidRPr="000A0397" w:rsidSect="00DB49A5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426" w:right="850" w:bottom="1134" w:left="851" w:header="421" w:footer="708" w:gutter="0"/>
          <w:cols w:space="708"/>
          <w:titlePg/>
          <w:docGrid w:linePitch="360"/>
        </w:sectPr>
      </w:pPr>
    </w:p>
    <w:p w:rsidR="00EF64C2" w:rsidRPr="000A0397" w:rsidRDefault="00EF64C2" w:rsidP="00DB49A5">
      <w:pPr>
        <w:numPr>
          <w:ilvl w:val="0"/>
          <w:numId w:val="10"/>
        </w:numPr>
        <w:tabs>
          <w:tab w:val="left" w:pos="142"/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 момента подписания настоящего соглашения Клиент соглашается и присоединяется к Правилам работы в системе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val="en-US" w:eastAsia="ar-SA"/>
        </w:rPr>
        <w:t>O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 xml:space="preserve">NLINECONTRACT»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(далее - «Правила»), размещенными в сети Интернет по адресу </w:t>
      </w:r>
      <w:hyperlink r:id="rId11" w:history="1">
        <w:r w:rsidRPr="000A0397">
          <w:rPr>
            <w:rFonts w:ascii="Times New Roman" w:eastAsia="Times New Roman" w:hAnsi="Times New Roman" w:cs="Calibri"/>
            <w:sz w:val="21"/>
            <w:szCs w:val="21"/>
            <w:u w:val="single"/>
            <w:lang w:eastAsia="ar-SA"/>
          </w:rPr>
          <w:t>www.onlinecontract.ru</w:t>
        </w:r>
      </w:hyperlink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порядке ст. 428 ГК РФ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 наделяется всеми правами и обязанностями участника Электронной торговой площадки 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>«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val="en-US" w:eastAsia="ar-SA"/>
        </w:rPr>
        <w:t>O</w:t>
      </w:r>
      <w:r w:rsidRPr="000A0397"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t xml:space="preserve">NLINECONTRACT»,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предусмотренными Правилами. 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 целях обеспечения своей заявки </w:t>
      </w:r>
      <w:r w:rsidR="004F3E61" w:rsidRPr="004F3E61">
        <w:rPr>
          <w:rFonts w:ascii="Times New Roman" w:eastAsia="Times New Roman" w:hAnsi="Times New Roman" w:cs="Calibri"/>
          <w:sz w:val="21"/>
          <w:szCs w:val="21"/>
          <w:lang w:eastAsia="ar-SA"/>
        </w:rPr>
        <w:t>(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предложения) в торгово-закупочных процедурах (далее – ТЗП)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вносит обеспечительный платеж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(далее – обеспечение), задаток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депозит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 расчетный счет Оператора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срок не позднее, чем за 1 (один) рабочий день до начала проведения Т</w:t>
      </w:r>
      <w:r w:rsidR="00200A33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 размере, указанном в Извещении о проведении </w:t>
      </w:r>
      <w:r w:rsidR="00200A3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(публикации)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Т</w:t>
      </w:r>
      <w:r w:rsidR="00200A33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 Размер определяется следующим образом:</w:t>
      </w:r>
    </w:p>
    <w:p w:rsidR="00EF64C2" w:rsidRDefault="00EF64C2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- для Торгов в Секторе Корпоративные закупки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Секторе Реализации активов и имущества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устанавливается в соответствии с Правилами;</w:t>
      </w:r>
    </w:p>
    <w:p w:rsidR="004F3E61" w:rsidRPr="000A0397" w:rsidRDefault="004F3E61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>
        <w:rPr>
          <w:rFonts w:ascii="Times New Roman" w:eastAsia="Times New Roman" w:hAnsi="Times New Roman" w:cs="Calibri"/>
          <w:sz w:val="21"/>
          <w:szCs w:val="21"/>
          <w:lang w:eastAsia="ar-SA"/>
        </w:rPr>
        <w:t>- для иных закупочных процедур в Секторе Корпоративные закупки с требованием внесения Обеспечения предложения Участника устанавливается Оператором;</w:t>
      </w:r>
    </w:p>
    <w:p w:rsidR="00EF64C2" w:rsidRPr="000A0397" w:rsidRDefault="00EF64C2" w:rsidP="000A0397">
      <w:pPr>
        <w:shd w:val="clear" w:color="auto" w:fill="FFFFFF" w:themeFill="background1"/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- для Торгов в Секторе Биржевые продукты, устанавливается в Системе Заказчиком до момента начала Торгов.</w:t>
      </w:r>
    </w:p>
    <w:p w:rsidR="00B01702" w:rsidRPr="000A0397" w:rsidRDefault="00B0170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 денежные средства, перечисленные в соответствии с настоящим Соглашением, проценты не начисляются.</w:t>
      </w:r>
    </w:p>
    <w:p w:rsidR="00FC6DED" w:rsidRPr="000A0397" w:rsidRDefault="00EF64C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по согласованию с Оператором может внести в счет оплаты обеспечени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я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задатка или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депозита сумму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достаточную для создания и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>/или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участия в будущем в нескольких Т</w:t>
      </w:r>
      <w:r w:rsidR="00200A33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 В этом случае размер суммы обеспечения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задатка или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определяется Клиентом исходя из объемов планируемых заявок на создание и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>/или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участие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 Торгах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EF64C2" w:rsidRPr="000A0397" w:rsidRDefault="00FC6DED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Внесение </w:t>
      </w:r>
      <w:r w:rsidR="00E217A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третьим лицом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задатка за Клиента не допускается.</w:t>
      </w:r>
      <w:r w:rsidR="00EF64C2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случае, если Клиент становится по итогам Торгов в Секторе Корпоративные закупки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Секторе </w:t>
      </w:r>
      <w:r w:rsidR="0098177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Реализации активов и имущества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Победителем, то он обязан заключить контракт с Заказчиком.</w:t>
      </w:r>
    </w:p>
    <w:p w:rsidR="00A07B3F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окончания Т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обеспечительные платежи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331A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депозиты,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задатки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Клиентов могут остаться на расчётном счете Оператора для использования в качестве обеспечительных платежей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задатка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по проводимым в будущем в Системе Т</w:t>
      </w:r>
      <w:r w:rsidR="00200A33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F64C2" w:rsidRDefault="00A07B3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согласен, что в случае определения его в качестве Победителя</w:t>
      </w:r>
      <w:r w:rsidR="004F3E61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 Торгах с использованием депозит</w:t>
      </w:r>
      <w:r w:rsidR="00B81887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ов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сумма его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д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епозит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засчитается в </w:t>
      </w:r>
      <w:r w:rsidR="00B01702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пользу Оператора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4F3E61" w:rsidRPr="000A0397" w:rsidRDefault="004F3E61" w:rsidP="004F3E61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Клиент согласен, что в случае определения его в качестве По</w:t>
      </w:r>
      <w:r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ставщика в </w:t>
      </w:r>
      <w:r w:rsidR="00200A3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закупочных процедурах </w:t>
      </w:r>
      <w:r>
        <w:rPr>
          <w:rFonts w:ascii="Times New Roman" w:eastAsia="Times New Roman" w:hAnsi="Times New Roman" w:cs="Calibri"/>
          <w:sz w:val="21"/>
          <w:szCs w:val="21"/>
          <w:lang w:eastAsia="ar-SA"/>
        </w:rPr>
        <w:t>с требованием внесения Обеспечения предложения Участника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200A3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 Секторе Корпоративные закупки,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сумма его 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>обеспечения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засчитается в пользу Оператора.</w:t>
      </w:r>
    </w:p>
    <w:p w:rsidR="00EF64C2" w:rsidRPr="000A0397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окончания Т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в течение 3 (трех) рабочих дней с момента поступления письменного заявления от Клиента, который не стал Победителем Торгов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Поставщиком в закупочных процедурах </w:t>
      </w:r>
      <w:r w:rsidR="00F33C53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с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требованием внесения Обеспечения предложения Участника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или не сделал предпоследнее ценовое предложение, Оператор возвращает такому Участнику сумму обеспечительного платежа</w:t>
      </w:r>
      <w:r w:rsidR="009B1653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задатка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 депозита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EF64C2" w:rsidRPr="000A0397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подписания контракта с Заказчиком Торгов, в течение 3 (трех) рабочих дней с момента поступления письменного заявления от Клиента, Оператор возвращает Заказчику Торгов, Победителю Торгов и Участнику, сделавшему предпоследнее ценовое предложение,</w:t>
      </w:r>
      <w:r w:rsidR="00B7212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сумму обеспечительного платежа.</w:t>
      </w:r>
    </w:p>
    <w:p w:rsidR="004160CE" w:rsidRPr="000A0397" w:rsidRDefault="00B0170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Задаток, внесенный Победителем </w:t>
      </w:r>
      <w:r w:rsidR="00AF4D6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торгов Оператору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засчитывается в счет обязательства Клиента, признанного Победителем торгов. </w:t>
      </w:r>
      <w:r w:rsidR="00A07B3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Клиент поручает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Оператор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у перечислить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Заказчику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после подписания контракта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DC775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и (или)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протокола Торгов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Клиентом, признанного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Победителем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A1898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и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4160CE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Заказчиком сумму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задатка, внесенную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им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в счет исполнения </w:t>
      </w:r>
      <w:r w:rsidR="00750A9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своих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обязательств по контракту, </w:t>
      </w:r>
      <w:r w:rsidR="00D43AC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согласно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письменного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заявления</w:t>
      </w:r>
      <w:r w:rsidR="001721B4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0240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(распоряжения) Заказчика.</w:t>
      </w:r>
      <w:r w:rsidR="001C119D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217AF" w:rsidRPr="000A0397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Оператор должен вернуть по письменному заявлению Клиента, ставшего Покупателем в Секторе Биржевые продукты, сумму обеспечительного платежа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lastRenderedPageBreak/>
        <w:t>в течение 3 (трех) рабочих дней с момента исполнения всех обязательств по контракту (дополнительному соглашению к контракту) с Заказчиком в Секторе Биржевые продукты, в том числе оплаты по заключенному контракту (дополнительному соглашению к контракту).</w:t>
      </w:r>
      <w:r w:rsidR="00E217A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</w:p>
    <w:p w:rsidR="00E217AF" w:rsidRPr="000A0397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случае нарушения Заказчиком своих обязательств по контракту</w:t>
      </w:r>
      <w:r w:rsidR="0040371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,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в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озврат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Победителю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суммы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его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задатк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перечисленного Оператором в пользу Заказчика в счет исполнения обязательств </w:t>
      </w:r>
      <w:r w:rsidR="005569A0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Победителя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по контракту, осуществляется Заказчиком в соответствии с требованиями действующего законодательства. </w:t>
      </w:r>
    </w:p>
    <w:p w:rsidR="00EF64C2" w:rsidRPr="000A0397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Возврат депозита и (или) задатка Клиента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и (или) Обеспечения предложения Участника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не ставшего Победителем 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(Поставщиком)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 итогам Т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>ЗП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, осуществляется в соответствии с Правилами.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Порядок применения штрафных санкций к Клиенту определен Правилами.</w:t>
      </w:r>
      <w:r w:rsidR="002D544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Оператор оставляет за собой право не удерживать сумму обеспечения Клиента в виде штрафа, если будет доказано исполнение обязательств по контракту.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  <w:tab w:val="left" w:pos="426"/>
          <w:tab w:val="left" w:pos="709"/>
          <w:tab w:val="left" w:pos="851"/>
          <w:tab w:val="left" w:pos="993"/>
          <w:tab w:val="num" w:pos="1224"/>
          <w:tab w:val="left" w:pos="1276"/>
          <w:tab w:val="left" w:pos="156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Клиент несет ответственность за сохранность логина (имени) и пароля от личного кабинета, </w:t>
      </w:r>
      <w:proofErr w:type="gramStart"/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 несанкционированную руководством</w:t>
      </w:r>
      <w:proofErr w:type="gramEnd"/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Клиента передачу сотрудником, назначенным в качестве лица, ответственного за работу Клиента в Системе логина (имени) и пароля для входа и работы в Системе третьим лицам, не имеющим соответствующих полномочий и к</w:t>
      </w:r>
      <w:r w:rsidR="00DB69C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валификации на работу в Системе.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За несоблюдение правил хранения логина (имени) и пароля или за несанкционированную передачу сотрудником, назначенным в качестве лица, ответственного за работу Клиента в Системе, логина (имени) и пароля для входа и работы в Системе третьим лицам, не имеющим соответствующих полномочий и квалификации на работу в Системе, Клиент несет ответственность в виде штрафа в размере 10 000 (десять тысяч) рублей за каждый факт нарушения.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Внесение изменений (дополнений) в настоящее Соглашение производится Оператором в одностороннем порядке, путем опубликования 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уведомления на сайте Оператора по адресу </w:t>
      </w:r>
      <w:hyperlink r:id="rId12" w:history="1">
        <w:r w:rsidRPr="000A0397">
          <w:rPr>
            <w:rFonts w:ascii="Times New Roman" w:eastAsia="Times New Roman" w:hAnsi="Times New Roman" w:cs="Calibri"/>
            <w:sz w:val="21"/>
            <w:szCs w:val="21"/>
            <w:u w:val="single"/>
            <w:lang w:eastAsia="ar-SA"/>
          </w:rPr>
          <w:t>http://www.onlinecontract.ru</w:t>
        </w:r>
      </w:hyperlink>
      <w:r w:rsidR="00D43ACF" w:rsidRPr="000A0397">
        <w:rPr>
          <w:rFonts w:ascii="Times New Roman" w:eastAsia="Times New Roman" w:hAnsi="Times New Roman" w:cs="Calibri"/>
          <w:sz w:val="21"/>
          <w:szCs w:val="21"/>
          <w:u w:val="single"/>
          <w:lang w:eastAsia="ar-SA"/>
        </w:rPr>
        <w:t>,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становятся обязательными через 3 (три) календарных дня с момента публикации.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Любые изменения (дополнения) в Соглашение с момента вступления в силу, равно распространяются на всех Клиентов, подписавших Соглашение, в том числе ранее даты вступления изменений (дополнений) в силу. 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Во всем остальном, что не предусмотрено настоящим договором, Стороны будут руководствоваться Правилами и действующим законодательством РФ.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Настоящее соглашение вступает в силу с момента его подписания Сторонами и действует в течение 1 (одного) года. Если по истечении указанного срока ни одна из сторон не направит письменного заявления о своем желании прекратить действие настоящего соглашения, соглашение автоматически продлевается на каждый последующий год.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Все возможные споры и разногласия, связанные с исполнением настоящего соглашения, будут разрешаться Сторонами путем переговоров. В случае невозможности разрешения споров и разногласий путем переговоров они передаются на</w:t>
      </w:r>
      <w:r w:rsidR="00EE43F5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разрешение в Арбитражный суд по месту нахождения Ответчика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.</w:t>
      </w:r>
    </w:p>
    <w:p w:rsidR="00A55ECF" w:rsidRPr="000A0397" w:rsidRDefault="00A55ECF" w:rsidP="00A55ECF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Соглашение, счета и иные документы, связанные с заключением, исполнением, изменением настоящего соглашения и переданные по факсимильной связи и/или электронной почте по реквизитам, указанным в </w:t>
      </w:r>
      <w:r w:rsidR="00FF44C6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п.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</w:t>
      </w:r>
      <w:r w:rsidR="002D544F"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2</w:t>
      </w:r>
      <w:r w:rsidR="00F33C53">
        <w:rPr>
          <w:rFonts w:ascii="Times New Roman" w:eastAsia="Times New Roman" w:hAnsi="Times New Roman" w:cs="Calibri"/>
          <w:sz w:val="21"/>
          <w:szCs w:val="21"/>
          <w:lang w:eastAsia="ar-SA"/>
        </w:rPr>
        <w:t>6</w:t>
      </w: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 xml:space="preserve"> настоящего соглашения, имеют юридическую силу до обмена оригиналами. В случае обмена Сторон факсимильными и/или электронными документами, их оригиналы направляются не позднее 5 (пяти) рабочих дней, без учёта времени на почтовую пересылку. При не направлении оригинала документа, факсимильный или электронный документ имеет силу оригинала документа и может быть использован как любой оригинальный документ. Обмен оригиналами документов обязателен для обеих Сторон соглашения.</w:t>
      </w:r>
    </w:p>
    <w:p w:rsidR="00EF64C2" w:rsidRPr="000A0397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  <w:r w:rsidRPr="000A0397">
        <w:rPr>
          <w:rFonts w:ascii="Times New Roman" w:eastAsia="Times New Roman" w:hAnsi="Times New Roman" w:cs="Calibri"/>
          <w:sz w:val="21"/>
          <w:szCs w:val="21"/>
          <w:lang w:eastAsia="ar-SA"/>
        </w:rPr>
        <w:t>Настоящее соглашение составлено в 2 (двух) экземплярах, имеющих равную юридическую силу, по одному для каждой из Сторон.</w:t>
      </w:r>
    </w:p>
    <w:p w:rsidR="006D4344" w:rsidRPr="000A0397" w:rsidRDefault="006D4344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sectPr w:rsidR="006D4344" w:rsidRPr="000A0397" w:rsidSect="00DB49A5">
          <w:type w:val="continuous"/>
          <w:pgSz w:w="11906" w:h="16838"/>
          <w:pgMar w:top="1134" w:right="850" w:bottom="1134" w:left="567" w:header="426" w:footer="708" w:gutter="0"/>
          <w:cols w:num="2" w:space="1"/>
          <w:titlePg/>
          <w:docGrid w:linePitch="360"/>
        </w:sectPr>
      </w:pPr>
    </w:p>
    <w:p w:rsidR="00EF64C2" w:rsidRPr="000A0397" w:rsidRDefault="00EF64C2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</w:pPr>
    </w:p>
    <w:p w:rsidR="00EF64C2" w:rsidRPr="000A0397" w:rsidRDefault="00EF64C2" w:rsidP="00A55ECF">
      <w:pPr>
        <w:pStyle w:val="a3"/>
        <w:numPr>
          <w:ilvl w:val="0"/>
          <w:numId w:val="10"/>
        </w:numPr>
        <w:suppressAutoHyphens/>
        <w:jc w:val="center"/>
        <w:rPr>
          <w:rFonts w:cs="Calibri"/>
          <w:b/>
          <w:sz w:val="21"/>
          <w:szCs w:val="21"/>
          <w:lang w:eastAsia="ar-SA"/>
        </w:rPr>
      </w:pPr>
      <w:r w:rsidRPr="000A0397">
        <w:rPr>
          <w:rFonts w:cs="Calibri"/>
          <w:b/>
          <w:sz w:val="21"/>
          <w:szCs w:val="21"/>
          <w:lang w:eastAsia="ar-SA"/>
        </w:rPr>
        <w:t>ЮРИДИЧЕСКИЕ АДРЕСА, РЕКВИЗИТЫ И ПОДПИСИ СТОРОН</w:t>
      </w:r>
    </w:p>
    <w:tbl>
      <w:tblPr>
        <w:tblW w:w="0" w:type="auto"/>
        <w:tblInd w:w="322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D454E3" w:rsidRPr="000A0397" w:rsidTr="000A74E1">
        <w:trPr>
          <w:trHeight w:val="2217"/>
        </w:trPr>
        <w:tc>
          <w:tcPr>
            <w:tcW w:w="4785" w:type="dxa"/>
          </w:tcPr>
          <w:p w:rsidR="00EF64C2" w:rsidRPr="000A0397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Оператор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ООО «МХ 1»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4200</w:t>
            </w:r>
            <w:r w:rsidR="00A55ECF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21</w:t>
            </w: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, РТ, г. Казань, 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ул. </w:t>
            </w:r>
            <w:r w:rsidR="00A55ECF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Парижской Коммуны, д.25/39, пом.1501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Почт. адрес: 420097, г. Казань, а/я 32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ИНН 1655080792 КПП 165501001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Р/с № 40702810200090007703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в ООО Банк "Аверс" г. Казани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К/с № 30101810500000000774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БИК 049205774</w:t>
            </w:r>
          </w:p>
        </w:tc>
        <w:tc>
          <w:tcPr>
            <w:tcW w:w="4785" w:type="dxa"/>
          </w:tcPr>
          <w:p w:rsidR="00EF64C2" w:rsidRPr="000A0397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Клиент</w:t>
            </w:r>
          </w:p>
          <w:sdt>
            <w:sdtPr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id w:val="1595825257"/>
              <w:placeholder>
                <w:docPart w:val="DefaultPlaceholder_1081868574"/>
              </w:placeholder>
            </w:sdtPr>
            <w:sdtEndPr/>
            <w:sdtContent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A55ECF" w:rsidRPr="000A0397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_________________________________________</w:t>
                </w:r>
              </w:p>
              <w:p w:rsidR="00EF64C2" w:rsidRPr="000A0397" w:rsidRDefault="00186D88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</w:pPr>
              </w:p>
            </w:sdtContent>
          </w:sdt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</w:tc>
      </w:tr>
      <w:tr w:rsidR="00EF64C2" w:rsidRPr="00D454E3" w:rsidTr="000A74E1">
        <w:trPr>
          <w:trHeight w:val="936"/>
        </w:trPr>
        <w:tc>
          <w:tcPr>
            <w:tcW w:w="4785" w:type="dxa"/>
          </w:tcPr>
          <w:p w:rsidR="00EF64C2" w:rsidRPr="000A0397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_______________ /А.А.</w:t>
            </w:r>
            <w:r w:rsidR="00B81887"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 xml:space="preserve"> </w:t>
            </w: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>Гуров/</w:t>
            </w: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«____» ____________20__ г. </w:t>
            </w:r>
          </w:p>
          <w:p w:rsidR="00EF64C2" w:rsidRPr="000A0397" w:rsidRDefault="00EF64C2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                   М.П.</w:t>
            </w:r>
            <w:r w:rsidR="00F33C53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</w:t>
            </w:r>
          </w:p>
        </w:tc>
        <w:tc>
          <w:tcPr>
            <w:tcW w:w="4785" w:type="dxa"/>
          </w:tcPr>
          <w:p w:rsidR="00EF64C2" w:rsidRPr="000A0397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</w:p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  <w:r w:rsidRPr="000A0397"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  <w:t xml:space="preserve">________________ </w:t>
            </w:r>
            <w:sdt>
              <w:sdtPr>
                <w:rPr>
                  <w:rFonts w:ascii="Times New Roman" w:eastAsia="Times New Roman" w:hAnsi="Times New Roman" w:cs="Calibri"/>
                  <w:b/>
                  <w:sz w:val="21"/>
                  <w:szCs w:val="21"/>
                  <w:lang w:eastAsia="ar-SA"/>
                </w:rPr>
                <w:id w:val="-2123140864"/>
                <w:placeholder>
                  <w:docPart w:val="DefaultPlaceholder_1081868574"/>
                </w:placeholder>
              </w:sdtPr>
              <w:sdtEndPr/>
              <w:sdtContent>
                <w:r w:rsidRPr="000A0397">
                  <w:rPr>
                    <w:rFonts w:ascii="Times New Roman" w:eastAsia="Times New Roman" w:hAnsi="Times New Roman" w:cs="Calibri"/>
                    <w:b/>
                    <w:sz w:val="21"/>
                    <w:szCs w:val="21"/>
                    <w:lang w:eastAsia="ar-SA"/>
                  </w:rPr>
                  <w:t>/_______________________/</w:t>
                </w:r>
              </w:sdtContent>
            </w:sdt>
          </w:p>
          <w:p w:rsidR="00EF64C2" w:rsidRPr="000A0397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sz w:val="21"/>
                <w:szCs w:val="21"/>
                <w:lang w:eastAsia="ar-SA"/>
              </w:rPr>
            </w:pPr>
          </w:p>
          <w:p w:rsidR="00F33C53" w:rsidRDefault="00FE3B1F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«____» ____________ 20</w:t>
            </w:r>
            <w:r w:rsidR="00EF64C2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__ г.    </w:t>
            </w:r>
          </w:p>
          <w:p w:rsidR="00EF64C2" w:rsidRPr="00D454E3" w:rsidRDefault="00F33C53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</w:pPr>
            <w:r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 xml:space="preserve">                      </w:t>
            </w:r>
            <w:r w:rsidR="00EF64C2" w:rsidRPr="000A0397">
              <w:rPr>
                <w:rFonts w:ascii="Times New Roman" w:eastAsia="Times New Roman" w:hAnsi="Times New Roman" w:cs="Calibri"/>
                <w:sz w:val="21"/>
                <w:szCs w:val="21"/>
                <w:lang w:eastAsia="ar-SA"/>
              </w:rPr>
              <w:t>М.П.</w:t>
            </w:r>
          </w:p>
        </w:tc>
      </w:tr>
    </w:tbl>
    <w:p w:rsidR="00087524" w:rsidRPr="00D454E3" w:rsidRDefault="00087524" w:rsidP="00F33C53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sectPr w:rsidR="00087524" w:rsidRPr="00D454E3" w:rsidSect="007310BD">
      <w:type w:val="continuous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0D3" w:rsidRDefault="00DF20D3" w:rsidP="00062E30">
      <w:pPr>
        <w:spacing w:after="0" w:line="240" w:lineRule="auto"/>
      </w:pPr>
      <w:r>
        <w:separator/>
      </w:r>
    </w:p>
  </w:endnote>
  <w:endnote w:type="continuationSeparator" w:id="0">
    <w:p w:rsidR="00DF20D3" w:rsidRDefault="00DF20D3" w:rsidP="0006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3A" w:rsidRDefault="004D4B3A" w:rsidP="007F547C">
    <w:pPr>
      <w:pStyle w:val="a7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D4B3A" w:rsidRDefault="004D4B3A" w:rsidP="007F547C">
    <w:pPr>
      <w:pStyle w:val="a7"/>
      <w:ind w:right="360"/>
    </w:pPr>
  </w:p>
  <w:p w:rsidR="00E827E5" w:rsidRDefault="00E827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53" w:rsidRDefault="006D4344" w:rsidP="006D4344">
    <w:pPr>
      <w:pStyle w:val="a7"/>
      <w:jc w:val="center"/>
      <w:rPr>
        <w:b/>
        <w:sz w:val="16"/>
        <w:szCs w:val="16"/>
      </w:rPr>
    </w:pPr>
    <w:r>
      <w:rPr>
        <w:sz w:val="16"/>
        <w:szCs w:val="16"/>
      </w:rPr>
      <w:t xml:space="preserve">Страница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186D88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из </w:t>
    </w:r>
    <w:r>
      <w:rPr>
        <w:b/>
        <w:sz w:val="16"/>
        <w:szCs w:val="16"/>
      </w:rPr>
      <w:t>2</w:t>
    </w:r>
    <w:r w:rsidR="00F33C53">
      <w:rPr>
        <w:b/>
        <w:sz w:val="16"/>
        <w:szCs w:val="16"/>
      </w:rPr>
      <w:t xml:space="preserve">. </w:t>
    </w:r>
  </w:p>
  <w:p w:rsidR="006D4344" w:rsidRDefault="006D4344" w:rsidP="006D4344">
    <w:pPr>
      <w:pStyle w:val="a7"/>
      <w:jc w:val="center"/>
      <w:rPr>
        <w:b/>
        <w:sz w:val="16"/>
        <w:szCs w:val="16"/>
      </w:rPr>
    </w:pPr>
    <w:r>
      <w:rPr>
        <w:b/>
        <w:sz w:val="16"/>
        <w:szCs w:val="16"/>
      </w:rPr>
      <w:t>Конфиденциально</w:t>
    </w:r>
  </w:p>
  <w:p w:rsidR="006D4344" w:rsidRPr="0094028F" w:rsidRDefault="006D4344" w:rsidP="006D4344">
    <w:pPr>
      <w:pStyle w:val="a7"/>
      <w:ind w:right="360"/>
      <w:rPr>
        <w:i/>
        <w:sz w:val="20"/>
        <w:szCs w:val="20"/>
      </w:rPr>
    </w:pPr>
    <w:r>
      <w:rPr>
        <w:i/>
        <w:sz w:val="20"/>
        <w:szCs w:val="20"/>
      </w:rPr>
      <w:t>Оператор ____________________</w:t>
    </w:r>
    <w:r w:rsidRPr="0094028F">
      <w:rPr>
        <w:i/>
        <w:sz w:val="20"/>
        <w:szCs w:val="20"/>
      </w:rPr>
      <w:t xml:space="preserve">                                      </w:t>
    </w:r>
    <w:r>
      <w:rPr>
        <w:i/>
        <w:sz w:val="20"/>
        <w:szCs w:val="20"/>
      </w:rPr>
      <w:tab/>
    </w:r>
    <w:r w:rsidRPr="0094028F">
      <w:rPr>
        <w:i/>
        <w:sz w:val="20"/>
        <w:szCs w:val="20"/>
      </w:rPr>
      <w:tab/>
      <w:t>Клиент ___________________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sz w:val="16"/>
        <w:szCs w:val="16"/>
        <w:lang w:eastAsia="ar-SA"/>
      </w:rPr>
    </w:pP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Страница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begin"/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instrText xml:space="preserve"> PAGE </w:instrTex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separate"/>
    </w:r>
    <w:r w:rsidR="00186D88">
      <w:rPr>
        <w:rFonts w:ascii="Times New Roman" w:eastAsia="Times New Roman" w:hAnsi="Times New Roman" w:cs="Calibri"/>
        <w:b/>
        <w:noProof/>
        <w:sz w:val="16"/>
        <w:szCs w:val="16"/>
        <w:lang w:eastAsia="ar-SA"/>
      </w:rPr>
      <w:t>1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end"/>
    </w: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 из </w:t>
    </w:r>
    <w:r>
      <w:rPr>
        <w:rFonts w:ascii="Times New Roman" w:eastAsia="Times New Roman" w:hAnsi="Times New Roman" w:cs="Calibri"/>
        <w:b/>
        <w:sz w:val="16"/>
        <w:szCs w:val="16"/>
        <w:lang w:eastAsia="ar-SA"/>
      </w:rPr>
      <w:t>2</w:t>
    </w: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t>Конфиденциально</w:t>
    </w:r>
  </w:p>
  <w:p w:rsidR="006D4344" w:rsidRPr="006D4344" w:rsidRDefault="006D4344" w:rsidP="006D4344">
    <w:pPr>
      <w:suppressAutoHyphens/>
      <w:spacing w:after="0" w:line="240" w:lineRule="auto"/>
      <w:ind w:right="360"/>
      <w:rPr>
        <w:rFonts w:ascii="Times New Roman" w:eastAsia="Times New Roman" w:hAnsi="Times New Roman" w:cs="Calibri"/>
        <w:i/>
        <w:sz w:val="20"/>
        <w:szCs w:val="20"/>
        <w:lang w:eastAsia="ar-SA"/>
      </w:rPr>
    </w:pP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>Оператор ____________________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 xml:space="preserve">                                      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>Клиент ___________________</w:t>
    </w:r>
  </w:p>
  <w:p w:rsidR="006D4344" w:rsidRDefault="006D43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0D3" w:rsidRDefault="00DF20D3" w:rsidP="00062E30">
      <w:pPr>
        <w:spacing w:after="0" w:line="240" w:lineRule="auto"/>
      </w:pPr>
      <w:r>
        <w:separator/>
      </w:r>
    </w:p>
  </w:footnote>
  <w:footnote w:type="continuationSeparator" w:id="0">
    <w:p w:rsidR="00DF20D3" w:rsidRDefault="00DF20D3" w:rsidP="0006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8" w:rsidRDefault="00A55ECF">
    <w:pPr>
      <w:pStyle w:val="a5"/>
    </w:pPr>
    <w:r>
      <w:rPr>
        <w:noProof/>
      </w:rPr>
      <w:drawing>
        <wp:inline distT="0" distB="0" distL="0" distR="0" wp14:anchorId="543EB733" wp14:editId="0506F314">
          <wp:extent cx="6479442" cy="1157844"/>
          <wp:effectExtent l="0" t="0" r="0" b="4445"/>
          <wp:docPr id="10" name="Рисунок 10" descr="C:\Users\rsarzhanov\AppData\Local\Microsoft\Windows\INetCache\Content.Word\Шапка бланков для счето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sarzhanov\AppData\Local\Microsoft\Windows\INetCache\Content.Word\Шапка бланков для счето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1758" cy="1161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1E6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D11A2C"/>
    <w:multiLevelType w:val="hybridMultilevel"/>
    <w:tmpl w:val="62327B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AE3484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1379408D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DE641A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F78065E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A91133A"/>
    <w:multiLevelType w:val="hybridMultilevel"/>
    <w:tmpl w:val="B23C1A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27E53"/>
    <w:multiLevelType w:val="hybridMultilevel"/>
    <w:tmpl w:val="21FE58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2C3C"/>
    <w:multiLevelType w:val="hybridMultilevel"/>
    <w:tmpl w:val="9C528E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27BC2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8OJVgo2thrmzAE0DrRX0o++wkeuE7DgnA0fVExAxgBraGC9+erxTD2IiSJ92SDf5/Om1t85BgdvgE/tx0cVdfw==" w:salt="abumb+ORrCvceV6ax1B2Qw==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2"/>
    <w:rsid w:val="00002840"/>
    <w:rsid w:val="0002401F"/>
    <w:rsid w:val="00062E30"/>
    <w:rsid w:val="0006606D"/>
    <w:rsid w:val="000752ED"/>
    <w:rsid w:val="000858CF"/>
    <w:rsid w:val="00087524"/>
    <w:rsid w:val="000A0397"/>
    <w:rsid w:val="000A1898"/>
    <w:rsid w:val="001721B4"/>
    <w:rsid w:val="00186D88"/>
    <w:rsid w:val="00191DBF"/>
    <w:rsid w:val="001A5C4E"/>
    <w:rsid w:val="001C119D"/>
    <w:rsid w:val="001E1AE2"/>
    <w:rsid w:val="00200A33"/>
    <w:rsid w:val="0026388D"/>
    <w:rsid w:val="00273014"/>
    <w:rsid w:val="00287990"/>
    <w:rsid w:val="002D544F"/>
    <w:rsid w:val="002F6EC8"/>
    <w:rsid w:val="00331A2F"/>
    <w:rsid w:val="00356206"/>
    <w:rsid w:val="0039456D"/>
    <w:rsid w:val="0040371F"/>
    <w:rsid w:val="004160CE"/>
    <w:rsid w:val="00442C79"/>
    <w:rsid w:val="00491B09"/>
    <w:rsid w:val="004B57F0"/>
    <w:rsid w:val="004D3921"/>
    <w:rsid w:val="004D4B3A"/>
    <w:rsid w:val="004F2671"/>
    <w:rsid w:val="004F3E61"/>
    <w:rsid w:val="005120E2"/>
    <w:rsid w:val="005122B1"/>
    <w:rsid w:val="00541D64"/>
    <w:rsid w:val="005569A0"/>
    <w:rsid w:val="005C3073"/>
    <w:rsid w:val="006B367E"/>
    <w:rsid w:val="006D4344"/>
    <w:rsid w:val="006F5910"/>
    <w:rsid w:val="00704EBD"/>
    <w:rsid w:val="0072478B"/>
    <w:rsid w:val="007310BD"/>
    <w:rsid w:val="00750A95"/>
    <w:rsid w:val="007A4648"/>
    <w:rsid w:val="007D1DA3"/>
    <w:rsid w:val="007F547C"/>
    <w:rsid w:val="00803056"/>
    <w:rsid w:val="008443C8"/>
    <w:rsid w:val="00903D67"/>
    <w:rsid w:val="009145B7"/>
    <w:rsid w:val="00981770"/>
    <w:rsid w:val="009B1653"/>
    <w:rsid w:val="00A07B3F"/>
    <w:rsid w:val="00A5055E"/>
    <w:rsid w:val="00A55ECF"/>
    <w:rsid w:val="00A63385"/>
    <w:rsid w:val="00AD1836"/>
    <w:rsid w:val="00AF4D6E"/>
    <w:rsid w:val="00B01702"/>
    <w:rsid w:val="00B7212F"/>
    <w:rsid w:val="00B81887"/>
    <w:rsid w:val="00BE371B"/>
    <w:rsid w:val="00C208C5"/>
    <w:rsid w:val="00C20E70"/>
    <w:rsid w:val="00C34768"/>
    <w:rsid w:val="00C83C86"/>
    <w:rsid w:val="00C84BE8"/>
    <w:rsid w:val="00CA7DFF"/>
    <w:rsid w:val="00CB00C4"/>
    <w:rsid w:val="00CF1F4D"/>
    <w:rsid w:val="00D35ECD"/>
    <w:rsid w:val="00D43ACF"/>
    <w:rsid w:val="00D454E3"/>
    <w:rsid w:val="00D8473C"/>
    <w:rsid w:val="00DB49A5"/>
    <w:rsid w:val="00DB69C5"/>
    <w:rsid w:val="00DC775E"/>
    <w:rsid w:val="00DF20D3"/>
    <w:rsid w:val="00E217AF"/>
    <w:rsid w:val="00E47DCC"/>
    <w:rsid w:val="00E827E5"/>
    <w:rsid w:val="00ED228F"/>
    <w:rsid w:val="00EE43F5"/>
    <w:rsid w:val="00EF64C2"/>
    <w:rsid w:val="00F33C53"/>
    <w:rsid w:val="00FC6DED"/>
    <w:rsid w:val="00FE3B1F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F3EEA2B-DA1D-4C84-AF5A-BD27586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62E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E30"/>
    <w:rPr>
      <w:rFonts w:eastAsiaTheme="minorEastAsia"/>
      <w:lang w:eastAsia="ru-RU"/>
    </w:rPr>
  </w:style>
  <w:style w:type="paragraph" w:styleId="a7">
    <w:name w:val="footer"/>
    <w:basedOn w:val="a"/>
    <w:link w:val="a8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62E30"/>
    <w:rPr>
      <w:rFonts w:eastAsiaTheme="minorEastAsia"/>
      <w:lang w:eastAsia="ru-RU"/>
    </w:rPr>
  </w:style>
  <w:style w:type="table" w:styleId="a9">
    <w:name w:val="Table Grid"/>
    <w:basedOn w:val="a1"/>
    <w:uiPriority w:val="59"/>
    <w:rsid w:val="00062E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30">
    <w:name w:val="1CStyle3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4">
    <w:name w:val="1CStyle1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3">
    <w:name w:val="1CStyle13"/>
    <w:rsid w:val="00062E30"/>
    <w:pPr>
      <w:jc w:val="center"/>
    </w:pPr>
    <w:rPr>
      <w:rFonts w:ascii="Arial" w:eastAsiaTheme="minorEastAsia" w:hAnsi="Arial"/>
      <w:b/>
      <w:sz w:val="28"/>
      <w:lang w:eastAsia="ru-RU"/>
    </w:rPr>
  </w:style>
  <w:style w:type="paragraph" w:customStyle="1" w:styleId="1CStyle8">
    <w:name w:val="1CStyle8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">
    <w:name w:val="1CStyle2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7">
    <w:name w:val="1CStyle27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6">
    <w:name w:val="1CStyle16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9">
    <w:name w:val="1CStyle19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7">
    <w:name w:val="1CStyle17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0">
    <w:name w:val="1CStyle20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1">
    <w:name w:val="1CStyle21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5">
    <w:name w:val="1CStyle15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3">
    <w:name w:val="1CStyle23"/>
    <w:rsid w:val="00062E30"/>
    <w:pPr>
      <w:jc w:val="center"/>
    </w:pPr>
    <w:rPr>
      <w:rFonts w:eastAsiaTheme="minorEastAsia"/>
      <w:lang w:eastAsia="ru-RU"/>
    </w:rPr>
  </w:style>
  <w:style w:type="paragraph" w:customStyle="1" w:styleId="1CStyle10">
    <w:name w:val="1CStyle1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2">
    <w:name w:val="1CStyle22"/>
    <w:rsid w:val="00062E30"/>
    <w:pPr>
      <w:wordWrap w:val="0"/>
      <w:jc w:val="center"/>
    </w:pPr>
    <w:rPr>
      <w:rFonts w:eastAsiaTheme="minorEastAsia"/>
      <w:lang w:eastAsia="ru-RU"/>
    </w:rPr>
  </w:style>
  <w:style w:type="paragraph" w:customStyle="1" w:styleId="1CStyle7">
    <w:name w:val="1CStyle7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4">
    <w:name w:val="1CStyle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9">
    <w:name w:val="1CStyle29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1">
    <w:name w:val="1CStyle11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8">
    <w:name w:val="1CStyle28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25">
    <w:name w:val="1CStyle25"/>
    <w:rsid w:val="00062E30"/>
    <w:pPr>
      <w:jc w:val="right"/>
    </w:pPr>
    <w:rPr>
      <w:rFonts w:eastAsiaTheme="minorEastAsia"/>
      <w:lang w:eastAsia="ru-RU"/>
    </w:rPr>
  </w:style>
  <w:style w:type="paragraph" w:customStyle="1" w:styleId="1CStyle26">
    <w:name w:val="1CStyle26"/>
    <w:rsid w:val="00062E30"/>
    <w:pPr>
      <w:jc w:val="right"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062E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44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43C8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310B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10B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10BD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10B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10BD"/>
    <w:rPr>
      <w:rFonts w:eastAsiaTheme="minorEastAsia"/>
      <w:b/>
      <w:bCs/>
      <w:sz w:val="20"/>
      <w:szCs w:val="20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5122B1"/>
    <w:pPr>
      <w:tabs>
        <w:tab w:val="left" w:pos="426"/>
      </w:tabs>
      <w:ind w:firstLine="284"/>
      <w:jc w:val="both"/>
    </w:pPr>
    <w:rPr>
      <w:rFonts w:cs="Arial"/>
      <w:sz w:val="18"/>
      <w:szCs w:val="1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122B1"/>
    <w:rPr>
      <w:rFonts w:eastAsiaTheme="minorEastAsia" w:cs="Arial"/>
      <w:sz w:val="18"/>
      <w:szCs w:val="18"/>
      <w:lang w:eastAsia="ru-RU"/>
    </w:rPr>
  </w:style>
  <w:style w:type="character" w:styleId="af4">
    <w:name w:val="page number"/>
    <w:basedOn w:val="a0"/>
    <w:rsid w:val="00273014"/>
  </w:style>
  <w:style w:type="paragraph" w:styleId="af5">
    <w:name w:val="Body Text"/>
    <w:basedOn w:val="a"/>
    <w:link w:val="af6"/>
    <w:uiPriority w:val="99"/>
    <w:unhideWhenUsed/>
    <w:rsid w:val="009145B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4"/>
      <w:szCs w:val="28"/>
    </w:rPr>
  </w:style>
  <w:style w:type="character" w:customStyle="1" w:styleId="af6">
    <w:name w:val="Основной текст Знак"/>
    <w:basedOn w:val="a0"/>
    <w:link w:val="af5"/>
    <w:uiPriority w:val="99"/>
    <w:rsid w:val="009145B7"/>
    <w:rPr>
      <w:rFonts w:ascii="Times New Roman" w:eastAsia="Times New Roman" w:hAnsi="Times New Roman" w:cs="Times New Roman"/>
      <w:i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onlinecontrac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linecontract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72D72-0991-424F-8D19-13DC6711E101}"/>
      </w:docPartPr>
      <w:docPartBody>
        <w:p w:rsidR="00E47308" w:rsidRDefault="00F60846">
          <w:r w:rsidRPr="00F37B57">
            <w:rPr>
              <w:rStyle w:val="a3"/>
              <w:rPrChange w:id="0" w:author="Аминова Альбина Рустамовна" w:date="2015-05-05T11:00:00Z">
                <w:rPr>
                  <w:rFonts w:eastAsiaTheme="minorHAnsi"/>
                  <w:lang w:eastAsia="en-US"/>
                </w:rPr>
              </w:rPrChange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7CD6-723D-4E97-8DF1-9BC63BC9C80A}"/>
      </w:docPartPr>
      <w:docPartBody>
        <w:p w:rsidR="00E47308" w:rsidRDefault="00F60846">
          <w:r w:rsidRPr="00F37B57">
            <w:rPr>
              <w:rStyle w:val="a3"/>
              <w:rPrChange w:id="1" w:author="Аминова Альбина Рустамовна" w:date="2015-05-05T11:01:00Z">
                <w:rPr>
                  <w:rFonts w:eastAsiaTheme="minorHAnsi"/>
                  <w:lang w:eastAsia="en-US"/>
                </w:rPr>
              </w:rPrChange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B5"/>
    <w:rsid w:val="000D6820"/>
    <w:rsid w:val="00485A9C"/>
    <w:rsid w:val="004B6D65"/>
    <w:rsid w:val="00934ADC"/>
    <w:rsid w:val="009D4C17"/>
    <w:rsid w:val="00C372D3"/>
    <w:rsid w:val="00DA4733"/>
    <w:rsid w:val="00E47308"/>
    <w:rsid w:val="00E73BD2"/>
    <w:rsid w:val="00EB28B5"/>
    <w:rsid w:val="00F3445F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BD2"/>
    <w:rPr>
      <w:color w:val="808080"/>
    </w:rPr>
  </w:style>
  <w:style w:type="paragraph" w:customStyle="1" w:styleId="061B9090F3A7446E94E3075B47032A39">
    <w:name w:val="061B9090F3A7446E94E3075B47032A39"/>
    <w:rsid w:val="00EB28B5"/>
  </w:style>
  <w:style w:type="paragraph" w:customStyle="1" w:styleId="BAD75C77B67349F2BC399080EC6F577E">
    <w:name w:val="BAD75C77B67349F2BC399080EC6F577E"/>
    <w:rsid w:val="00EB28B5"/>
  </w:style>
  <w:style w:type="paragraph" w:customStyle="1" w:styleId="45CE8C735AE34ED3941045EEC766E396">
    <w:name w:val="45CE8C735AE34ED3941045EEC766E396"/>
    <w:rsid w:val="00EB28B5"/>
  </w:style>
  <w:style w:type="paragraph" w:customStyle="1" w:styleId="55DFA477F89045FCBAEB66AEDE140F98">
    <w:name w:val="55DFA477F89045FCBAEB66AEDE140F98"/>
    <w:rsid w:val="00EB28B5"/>
  </w:style>
  <w:style w:type="paragraph" w:customStyle="1" w:styleId="310E88625B324AE49B00BA3837DFA609">
    <w:name w:val="310E88625B324AE49B00BA3837DFA609"/>
    <w:rsid w:val="000D6820"/>
  </w:style>
  <w:style w:type="paragraph" w:customStyle="1" w:styleId="4BE82F8F329C4D47A12BC09FBEC12F25">
    <w:name w:val="4BE82F8F329C4D47A12BC09FBEC12F25"/>
    <w:rsid w:val="000D6820"/>
  </w:style>
  <w:style w:type="paragraph" w:customStyle="1" w:styleId="602B69148E254E38A270BBE8CF52887D">
    <w:name w:val="602B69148E254E38A270BBE8CF52887D"/>
    <w:rsid w:val="000D6820"/>
  </w:style>
  <w:style w:type="paragraph" w:customStyle="1" w:styleId="DAFA77584D814B5B97036D8F7DD2ADCE">
    <w:name w:val="DAFA77584D814B5B97036D8F7DD2ADCE"/>
    <w:rsid w:val="000D6820"/>
  </w:style>
  <w:style w:type="paragraph" w:customStyle="1" w:styleId="4E860F98CD924929B975AE39101F4F43">
    <w:name w:val="4E860F98CD924929B975AE39101F4F43"/>
    <w:rsid w:val="00C372D3"/>
  </w:style>
  <w:style w:type="paragraph" w:customStyle="1" w:styleId="7CA00D372F6A4D21910AF88DA99E9864">
    <w:name w:val="7CA00D372F6A4D21910AF88DA99E9864"/>
    <w:rsid w:val="00DA4733"/>
  </w:style>
  <w:style w:type="paragraph" w:customStyle="1" w:styleId="A8E49DB0A525483B82F9090F5F03C41A">
    <w:name w:val="A8E49DB0A525483B82F9090F5F03C41A"/>
    <w:rsid w:val="00DA4733"/>
  </w:style>
  <w:style w:type="paragraph" w:customStyle="1" w:styleId="ABF0B00D88934FE097EFA73D1EF6D66A">
    <w:name w:val="ABF0B00D88934FE097EFA73D1EF6D66A"/>
    <w:rsid w:val="00DA4733"/>
  </w:style>
  <w:style w:type="paragraph" w:customStyle="1" w:styleId="2838CA49DD98496CBE45A9D5E5B7E2BD">
    <w:name w:val="2838CA49DD98496CBE45A9D5E5B7E2BD"/>
    <w:rsid w:val="00DA4733"/>
  </w:style>
  <w:style w:type="paragraph" w:customStyle="1" w:styleId="5717DEADC3F347CD9A0032F9687C1ABF">
    <w:name w:val="5717DEADC3F347CD9A0032F9687C1ABF"/>
    <w:rsid w:val="00DA4733"/>
  </w:style>
  <w:style w:type="paragraph" w:customStyle="1" w:styleId="D3203512E6BF41B2844FD200A0DE66E2">
    <w:name w:val="D3203512E6BF41B2844FD200A0DE66E2"/>
    <w:rsid w:val="00E73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Аминова Альбина Рустамовна</dc:creator>
  <cp:lastModifiedBy>Саржанов Руслан Рамисович</cp:lastModifiedBy>
  <cp:revision>5</cp:revision>
  <cp:lastPrinted>2015-05-05T09:46:00Z</cp:lastPrinted>
  <dcterms:created xsi:type="dcterms:W3CDTF">2021-09-03T13:58:00Z</dcterms:created>
  <dcterms:modified xsi:type="dcterms:W3CDTF">2021-09-06T08:48:00Z</dcterms:modified>
</cp:coreProperties>
</file>