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7E18D8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Соглашение о присоединении к Правилам работы в Системе </w:t>
      </w:r>
      <w:r w:rsidR="000A0397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</w:t>
      </w:r>
      <w:r w:rsidR="000A0397" w:rsidRPr="007E18D8">
        <w:rPr>
          <w:rFonts w:ascii="Times New Roman" w:eastAsia="Times New Roman" w:hAnsi="Times New Roman" w:cs="Calibri"/>
          <w:b/>
          <w:sz w:val="20"/>
          <w:szCs w:val="20"/>
          <w:lang w:val="en-US" w:eastAsia="ar-SA"/>
        </w:rPr>
        <w:t>Onlinecontract</w:t>
      </w:r>
      <w:r w:rsidR="000A0397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»</w:t>
      </w:r>
    </w:p>
    <w:p w:rsidR="00C84BE8" w:rsidRPr="007E18D8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и об обеспечении заявки на участие</w:t>
      </w:r>
    </w:p>
    <w:p w:rsidR="00C84BE8" w:rsidRPr="007E18D8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г. Казань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  <w:t xml:space="preserve">           </w:t>
      </w:r>
      <w:r w:rsidR="007E18D8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                  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</w:t>
      </w:r>
      <w:sdt>
        <w:sdtPr>
          <w:rPr>
            <w:rFonts w:ascii="Times New Roman" w:eastAsia="Times New Roman" w:hAnsi="Times New Roman" w:cs="Calibri"/>
            <w:b/>
            <w:sz w:val="20"/>
            <w:szCs w:val="20"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4436BD">
            <w:rPr>
              <w:rStyle w:val="aa"/>
              <w:color w:val="auto"/>
              <w:sz w:val="20"/>
              <w:szCs w:val="20"/>
              <w:highlight w:val="yellow"/>
            </w:rPr>
            <w:t>Место для ввода даты.</w:t>
          </w:r>
        </w:sdtContent>
      </w:sdt>
    </w:p>
    <w:p w:rsidR="00EF64C2" w:rsidRPr="007E18D8" w:rsidRDefault="00EF64C2" w:rsidP="00EF64C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Общество с ограниченной ответственностью «МХ 1»,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Оператор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«Клиент»,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лице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 xml:space="preserve">Место для ввода </w:t>
          </w:r>
          <w:proofErr w:type="gramStart"/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proofErr w:type="gramEnd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DB49A5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426" w:right="850" w:bottom="1134" w:left="851" w:header="421" w:footer="708" w:gutter="0"/>
          <w:cols w:space="708"/>
          <w:titlePg/>
          <w:docGrid w:linePitch="360"/>
        </w:sectPr>
      </w:pPr>
    </w:p>
    <w:p w:rsidR="00EF64C2" w:rsidRPr="007E18D8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val="en-US" w:eastAsia="ar-SA"/>
        </w:rPr>
        <w:t>O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NLINECONTRACT»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7E18D8">
          <w:rPr>
            <w:rFonts w:ascii="Times New Roman" w:eastAsia="Times New Roman" w:hAnsi="Times New Roman" w:cs="Calibri"/>
            <w:sz w:val="20"/>
            <w:szCs w:val="20"/>
            <w:u w:val="single"/>
            <w:lang w:eastAsia="ar-SA"/>
          </w:rPr>
          <w:t>www.onlinecontract.ru</w:t>
        </w:r>
      </w:hyperlink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порядке ст. 428 ГК РФ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val="en-US" w:eastAsia="ar-SA"/>
        </w:rPr>
        <w:t>O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NLINECONTRACT»,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предусмотренными Правилами. </w:t>
      </w:r>
    </w:p>
    <w:p w:rsidR="00EF64C2" w:rsidRPr="007E18D8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 целях обеспечения своей заявки 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(предложения) в торгово-закупочных процедурах (далее – ТЗП)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Клиент вносит обеспечительный платеж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(далее – обеспечение), задаток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депозит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 расчетный счет Оператора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срок не позднее, чем за 1 (один) рабочий день до начала проведения 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размере, указанном в Извещении о проведении 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(публикации)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 Размер определяется следующим образом:</w:t>
      </w:r>
    </w:p>
    <w:p w:rsidR="00EF64C2" w:rsidRPr="007E18D8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- для Торгов в Секторе Корпоративные закупки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Секторе Реализации активов и имущества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устанавливается в соответствии с Правилами;</w:t>
      </w:r>
    </w:p>
    <w:p w:rsidR="004F3E61" w:rsidRPr="007E18D8" w:rsidRDefault="004F3E61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- для иных закупочных процедур в Секторе Корпоративные закупки с требованием внесения Обеспечения предложения Участника устанавливается Оператором;</w:t>
      </w:r>
    </w:p>
    <w:p w:rsidR="00EF64C2" w:rsidRPr="007E18D8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7E18D8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7E18D8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Клиент по согласованию с Оператором может внести в счет оплаты обеспечени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я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задатка или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депозита сумму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достаточную для создания и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/или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участия в будущем в нескольких 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 В этом случае размер суммы обеспечения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задатка или депозита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определяется Клиентом исходя из объемов планируемых заявок на создание и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/или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участие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Торгах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EF64C2" w:rsidRPr="007E18D8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Внесение </w:t>
      </w:r>
      <w:r w:rsidR="00E217A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третьим лицом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задатка за Клиента не допускается.</w:t>
      </w:r>
      <w:r w:rsidR="00EF64C2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F64C2" w:rsidRPr="007E18D8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Секторе Реализации активов и имущества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Победителем, то он обязан заключить контракт с Заказчиком.</w:t>
      </w:r>
    </w:p>
    <w:p w:rsidR="00A07B3F" w:rsidRPr="007E18D8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окончания Т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обеспечительные платежи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="00331A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депозиты,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задатки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Клиентов могут остаться на расчётном счете Оператора для использования в качестве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обеспечительных платежей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задатка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депозита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по проводимым в будущем в Системе 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F64C2" w:rsidRPr="007E18D8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Клиент согласен, что в случае определения его в качестве Победителя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Торгах с использованием депозит</w:t>
      </w:r>
      <w:r w:rsidR="00B81887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ов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сумма его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д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епозит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засчитается в </w:t>
      </w:r>
      <w:r w:rsidR="00B01702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пользу Оператора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4F3E61" w:rsidRPr="007E18D8" w:rsidRDefault="004F3E61" w:rsidP="004F3E61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 согласен, что в случае определения его в качестве Поставщика в 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закупочных процедурах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с требованием внесения Обеспечения предложения Участника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 Секторе Корпоративные закупки,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сумма его 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обеспечения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засчитается в пользу Оператора.</w:t>
      </w:r>
    </w:p>
    <w:p w:rsidR="00EF64C2" w:rsidRPr="007E18D8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окончания Т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в течение 3 (трех) рабочих дней с момента поступления письменного заявления от Клиента, который не стал Победителем Торгов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Поставщиком в закупочных процедурах с требованием внесения Обеспечения предложения Участника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задатка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депозита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EF64C2" w:rsidRPr="007E18D8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сумму обеспечительного платежа.</w:t>
      </w:r>
    </w:p>
    <w:p w:rsidR="004160CE" w:rsidRPr="007E18D8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Задаток, внесенный Победителем </w:t>
      </w:r>
      <w:r w:rsidR="00AF4D6E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торгов Оператору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 поручает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Оператор</w:t>
      </w:r>
      <w:r w:rsidR="000A1898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у перечислить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0A1898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Заказчику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подписания контракта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DC775E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и (или) 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протокола Торгов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Клиентом, признанного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Победителем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0A1898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и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4160CE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Заказчиком сумму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задатка, внесенную 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им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в счет исполнения 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своих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обязательств по контракту,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согласно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письменного 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заявления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(распоряжения) Заказчика.</w:t>
      </w:r>
      <w:r w:rsidR="001C119D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217AF" w:rsidRPr="007E18D8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Оператор должен вернуть по письменному заявлению Клиента, ставшего Покупателем в Секторе Биржевые продукты, сумму обеспечительного платежа 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217AF" w:rsidRPr="007E18D8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случае нарушения Заказчиком своих обязательств по контракту</w:t>
      </w:r>
      <w:r w:rsidR="004037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озврат 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Победителю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суммы 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его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задатк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lastRenderedPageBreak/>
        <w:t xml:space="preserve">перечисленного Оператором в пользу Заказчика в счет исполнения обязательств 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Победителя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 контракту, осуществляется Заказчиком в соответствии с требованиями действующего законодательства. </w:t>
      </w:r>
    </w:p>
    <w:p w:rsidR="00EF64C2" w:rsidRPr="007E18D8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Возврат депозита и (или) задатка Клиента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 (или) Обеспечения предложения Участника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не ставшего Победителем 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(Поставщиком)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 итогам Т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осуществляется в соответствии с Правилами. 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Порядок применения штрафных санкций к Клиенту определен Правилами.</w:t>
      </w:r>
      <w:r w:rsidR="002D544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 несет ответственность за сохранность логина (имени) и пароля от личного кабинета, </w:t>
      </w:r>
      <w:proofErr w:type="gramStart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 несанкционированную руководством</w:t>
      </w:r>
      <w:proofErr w:type="gramEnd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Клиента передачу сотрудником, назначенным в качестве лица, ответственного за 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валификации на работу в Системе.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уведомления на сайте Оператора по адресу </w:t>
      </w:r>
      <w:hyperlink r:id="rId12" w:history="1">
        <w:r w:rsidRPr="007E18D8">
          <w:rPr>
            <w:rFonts w:ascii="Times New Roman" w:eastAsia="Times New Roman" w:hAnsi="Times New Roman" w:cs="Calibri"/>
            <w:sz w:val="20"/>
            <w:szCs w:val="20"/>
            <w:u w:val="single"/>
            <w:lang w:eastAsia="ar-SA"/>
          </w:rPr>
          <w:t>http://www.onlinecontract.ru</w:t>
        </w:r>
      </w:hyperlink>
      <w:r w:rsidR="00D43ACF" w:rsidRPr="007E18D8">
        <w:rPr>
          <w:rFonts w:ascii="Times New Roman" w:eastAsia="Times New Roman" w:hAnsi="Times New Roman" w:cs="Calibri"/>
          <w:sz w:val="20"/>
          <w:szCs w:val="20"/>
          <w:u w:val="single"/>
          <w:lang w:eastAsia="ar-SA"/>
        </w:rPr>
        <w:t>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Любые изменения (дополнения) в Соглашение с момента вступления в силу, равно распространяются на всех Клиентов, подписавших Соглашение, в том числе ранее даты вступления изменений (дополнений) в силу. 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Настоящее соглашение вступает в силу с момента его подписания Сторонами и действует в течение 1 (одного) года. Если по истечении указанного срока ни одна из сторон не направит письменного заявления о своем желании прекратить действие настоящего соглашения, соглашение автоматически продлевается на каждый последующий год.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споров и разногласий путем переговоров они передаются на</w:t>
      </w:r>
      <w:r w:rsidR="00EE43F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разрешение в Арбитражный суд по месту нахождения Ответчика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A55ECF" w:rsidRPr="007E18D8" w:rsidRDefault="00A55ECF" w:rsidP="00A55ECF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п.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2D544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2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6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DB49A5">
          <w:type w:val="continuous"/>
          <w:pgSz w:w="11906" w:h="16838"/>
          <w:pgMar w:top="1134" w:right="850" w:bottom="1134" w:left="567" w:header="426" w:footer="708" w:gutter="0"/>
          <w:cols w:num="2" w:space="1"/>
          <w:titlePg/>
          <w:docGrid w:linePitch="360"/>
        </w:sectPr>
      </w:pPr>
    </w:p>
    <w:p w:rsidR="00EF64C2" w:rsidRPr="000A0397" w:rsidRDefault="00EF64C2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</w:pPr>
    </w:p>
    <w:p w:rsidR="00EF64C2" w:rsidRPr="007E18D8" w:rsidRDefault="00EF64C2" w:rsidP="00A55ECF">
      <w:pPr>
        <w:pStyle w:val="a3"/>
        <w:numPr>
          <w:ilvl w:val="0"/>
          <w:numId w:val="10"/>
        </w:numPr>
        <w:suppressAutoHyphens/>
        <w:jc w:val="center"/>
        <w:rPr>
          <w:rFonts w:cs="Calibri"/>
          <w:b/>
          <w:sz w:val="20"/>
          <w:szCs w:val="20"/>
          <w:lang w:eastAsia="ar-SA"/>
        </w:rPr>
      </w:pPr>
      <w:r w:rsidRPr="007E18D8">
        <w:rPr>
          <w:rFonts w:cs="Calibri"/>
          <w:b/>
          <w:sz w:val="20"/>
          <w:szCs w:val="20"/>
          <w:lang w:eastAsia="ar-SA"/>
        </w:rPr>
        <w:t>ЮРИДИЧЕСКИЕ АДРЕСА, РЕКВИЗИТЫ И ПОДПИСИ СТОРОН</w:t>
      </w: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7E18D8" w:rsidTr="000A74E1">
        <w:trPr>
          <w:trHeight w:val="2217"/>
        </w:trPr>
        <w:tc>
          <w:tcPr>
            <w:tcW w:w="4785" w:type="dxa"/>
          </w:tcPr>
          <w:p w:rsidR="00EF64C2" w:rsidRPr="007E18D8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Оператор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ООО «МХ 1»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4200</w:t>
            </w:r>
            <w:r w:rsidR="00A55ECF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21</w:t>
            </w: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, РТ, г. Казань, 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ул. </w:t>
            </w:r>
            <w:r w:rsidR="00A55ECF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Парижской Коммуны, д.25/39, пом.1501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Почт. адрес: 420097, г. Казань, а/я 32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ИНН 1655080792 КПП 165501001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Р/с № 40702810200090007703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в ООО Банк "Аверс" г. Казани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К/с № 30101810500000000774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7E18D8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bookmarkStart w:id="0" w:name="_GoBack" w:displacedByCustomXml="prev"/>
              <w:p w:rsidR="00EF64C2" w:rsidRPr="00C36BE6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</w:pPr>
                <w:r w:rsidRPr="00C36BE6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C36BE6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</w:pPr>
                <w:r w:rsidRPr="00C36BE6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C36BE6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</w:pPr>
                <w:r w:rsidRPr="00C36BE6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C36BE6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</w:pPr>
                <w:r w:rsidRPr="00C36BE6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C36BE6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</w:pPr>
                <w:r w:rsidRPr="00C36BE6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  <w:t>_________________________________________</w:t>
                </w:r>
              </w:p>
              <w:p w:rsidR="00A55ECF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C36BE6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7E18D8" w:rsidRDefault="00B70A43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</w:p>
              <w:bookmarkEnd w:id="0" w:displacedByCustomXml="next"/>
            </w:sdtContent>
          </w:sdt>
          <w:p w:rsidR="00EF64C2" w:rsidRPr="007E18D8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</w:p>
        </w:tc>
      </w:tr>
      <w:tr w:rsidR="00EF64C2" w:rsidRPr="007E18D8" w:rsidTr="000A74E1">
        <w:trPr>
          <w:trHeight w:val="936"/>
        </w:trPr>
        <w:tc>
          <w:tcPr>
            <w:tcW w:w="4785" w:type="dxa"/>
          </w:tcPr>
          <w:p w:rsidR="00EF64C2" w:rsidRPr="007E18D8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_______________ /А.А.</w:t>
            </w:r>
            <w:r w:rsidR="00B81887"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 xml:space="preserve"> </w:t>
            </w: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Гуров/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«____» ____________20__ г. </w:t>
            </w:r>
          </w:p>
          <w:p w:rsidR="00EF64C2" w:rsidRPr="007E18D8" w:rsidRDefault="00EF64C2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                    М.П.</w:t>
            </w:r>
            <w:r w:rsidR="00F33C53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785" w:type="dxa"/>
          </w:tcPr>
          <w:p w:rsidR="00EF64C2" w:rsidRPr="007E18D8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</w:p>
          <w:p w:rsidR="00EF64C2" w:rsidRPr="007E18D8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sz w:val="20"/>
                  <w:szCs w:val="20"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/_______________________/</w:t>
                </w:r>
              </w:sdtContent>
            </w:sdt>
          </w:p>
          <w:p w:rsidR="00EF64C2" w:rsidRPr="007E18D8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</w:p>
          <w:p w:rsidR="00F33C53" w:rsidRPr="007E18D8" w:rsidRDefault="00FE3B1F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«____» ____________ 20</w:t>
            </w:r>
            <w:r w:rsidR="00EF64C2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__ г.    </w:t>
            </w:r>
          </w:p>
          <w:p w:rsidR="00EF64C2" w:rsidRPr="007E18D8" w:rsidRDefault="00F33C53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                      </w:t>
            </w:r>
            <w:r w:rsidR="00EF64C2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М.П.</w:t>
            </w:r>
          </w:p>
        </w:tc>
      </w:tr>
    </w:tbl>
    <w:p w:rsidR="00087524" w:rsidRPr="00D454E3" w:rsidRDefault="00087524" w:rsidP="00F33C53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sectPr w:rsidR="00087524" w:rsidRPr="00D454E3" w:rsidSect="007310BD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E5" w:rsidRDefault="002152E5" w:rsidP="00062E30">
      <w:pPr>
        <w:spacing w:after="0" w:line="240" w:lineRule="auto"/>
      </w:pPr>
      <w:r>
        <w:separator/>
      </w:r>
    </w:p>
  </w:endnote>
  <w:endnote w:type="continuationSeparator" w:id="0">
    <w:p w:rsidR="002152E5" w:rsidRDefault="002152E5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B70A43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  <w:r w:rsidR="00F33C53">
      <w:rPr>
        <w:b/>
        <w:sz w:val="16"/>
        <w:szCs w:val="16"/>
      </w:rPr>
      <w:t xml:space="preserve">. </w:t>
    </w:r>
    <w:r w:rsidR="007E18D8" w:rsidRPr="00C36BE6">
      <w:rPr>
        <w:b/>
        <w:sz w:val="16"/>
        <w:szCs w:val="16"/>
      </w:rPr>
      <w:t xml:space="preserve"> </w:t>
    </w: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B70A43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E5" w:rsidRDefault="002152E5" w:rsidP="00062E30">
      <w:pPr>
        <w:spacing w:after="0" w:line="240" w:lineRule="auto"/>
      </w:pPr>
      <w:r>
        <w:separator/>
      </w:r>
    </w:p>
  </w:footnote>
  <w:footnote w:type="continuationSeparator" w:id="0">
    <w:p w:rsidR="002152E5" w:rsidRDefault="002152E5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479442" cy="1157844"/>
          <wp:effectExtent l="0" t="0" r="0" b="4445"/>
          <wp:docPr id="10" name="Рисунок 10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1758" cy="116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tofMDMWEOTPr2cD9yIQES/Plwwx1je200EuBFBUd10FG0GhpcEzr72wmRktopCABPTUsU8Gv6uA6R6AxZQrCw==" w:salt="+6OkoM2lS5/H6wvxvvN/WQ==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62E30"/>
    <w:rsid w:val="0006606D"/>
    <w:rsid w:val="000752ED"/>
    <w:rsid w:val="000858CF"/>
    <w:rsid w:val="00087524"/>
    <w:rsid w:val="000A0397"/>
    <w:rsid w:val="000A1898"/>
    <w:rsid w:val="001721B4"/>
    <w:rsid w:val="00186D88"/>
    <w:rsid w:val="00191DBF"/>
    <w:rsid w:val="001A5C4E"/>
    <w:rsid w:val="001C119D"/>
    <w:rsid w:val="001E1AE2"/>
    <w:rsid w:val="00200A33"/>
    <w:rsid w:val="002152E5"/>
    <w:rsid w:val="0026388D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436BD"/>
    <w:rsid w:val="00491B09"/>
    <w:rsid w:val="004B57F0"/>
    <w:rsid w:val="004D3921"/>
    <w:rsid w:val="004D4B3A"/>
    <w:rsid w:val="004F2671"/>
    <w:rsid w:val="004F3E61"/>
    <w:rsid w:val="005120E2"/>
    <w:rsid w:val="005122B1"/>
    <w:rsid w:val="00541D64"/>
    <w:rsid w:val="005569A0"/>
    <w:rsid w:val="005C3073"/>
    <w:rsid w:val="006061C8"/>
    <w:rsid w:val="006B367E"/>
    <w:rsid w:val="006D4344"/>
    <w:rsid w:val="006F5910"/>
    <w:rsid w:val="00704EBD"/>
    <w:rsid w:val="0072478B"/>
    <w:rsid w:val="007310BD"/>
    <w:rsid w:val="00750A95"/>
    <w:rsid w:val="007A4648"/>
    <w:rsid w:val="007D1DA3"/>
    <w:rsid w:val="007E18D8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63385"/>
    <w:rsid w:val="00AC0B42"/>
    <w:rsid w:val="00AD1836"/>
    <w:rsid w:val="00AF4D6E"/>
    <w:rsid w:val="00B01702"/>
    <w:rsid w:val="00B70A43"/>
    <w:rsid w:val="00B7212F"/>
    <w:rsid w:val="00B81887"/>
    <w:rsid w:val="00BE371B"/>
    <w:rsid w:val="00C208C5"/>
    <w:rsid w:val="00C20E70"/>
    <w:rsid w:val="00C21E75"/>
    <w:rsid w:val="00C34768"/>
    <w:rsid w:val="00C36BE6"/>
    <w:rsid w:val="00C83C86"/>
    <w:rsid w:val="00C84BE8"/>
    <w:rsid w:val="00CA7DFF"/>
    <w:rsid w:val="00CB00C4"/>
    <w:rsid w:val="00CF1F4D"/>
    <w:rsid w:val="00D35ECD"/>
    <w:rsid w:val="00D43ACF"/>
    <w:rsid w:val="00D454E3"/>
    <w:rsid w:val="00D8473C"/>
    <w:rsid w:val="00DB49A5"/>
    <w:rsid w:val="00DB69C5"/>
    <w:rsid w:val="00DC0953"/>
    <w:rsid w:val="00DC775E"/>
    <w:rsid w:val="00DF20D3"/>
    <w:rsid w:val="00E217AF"/>
    <w:rsid w:val="00E47DCC"/>
    <w:rsid w:val="00E827E5"/>
    <w:rsid w:val="00ED228F"/>
    <w:rsid w:val="00EE43F5"/>
    <w:rsid w:val="00EF64C2"/>
    <w:rsid w:val="00F33C53"/>
    <w:rsid w:val="00F42BD5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4346"/>
    <w:rsid w:val="00485A9C"/>
    <w:rsid w:val="004B6D65"/>
    <w:rsid w:val="00934ADC"/>
    <w:rsid w:val="009D4C17"/>
    <w:rsid w:val="00C372D3"/>
    <w:rsid w:val="00D73155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3</cp:revision>
  <cp:lastPrinted>2015-05-05T09:46:00Z</cp:lastPrinted>
  <dcterms:created xsi:type="dcterms:W3CDTF">2021-09-22T07:58:00Z</dcterms:created>
  <dcterms:modified xsi:type="dcterms:W3CDTF">2021-09-22T07:59:00Z</dcterms:modified>
</cp:coreProperties>
</file>