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使用老师们实现的GraphSGAN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学习过程参考以下博客：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0" w:name="t0"/>
      <w:bookmarkEnd w:id="0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1. Graph representation learning</w:t>
      </w:r>
      <w:r>
        <w:rPr>
          <w:rFonts w:hint="default"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(network embedding / graph embedding / network representation learning) tries to embed each node of a graph into a low-dimensional vector space, which preserves the structural similarities or distances among the nodes in the original graph.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1" w:name="t1"/>
      <w:bookmarkEnd w:id="1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2. Graph分类：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Style w:val="6"/>
          <w:rFonts w:hint="default" w:ascii="&amp;quot" w:hAnsi="&amp;quot" w:eastAsia="&amp;quot" w:cs="&amp;quot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按照Input：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Homogeneous graph (e.g., citation network)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Heterogeneous graph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            Multimedia network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      Knowledge graph (entity,relation)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Graph with side information（辅助信息）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Node/edge label (categorical)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Node/edge attribute (discrete or continuous)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Node feature (e.g., texts)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Graph transformed from non-relational data (从非关系型数据中转换成的图)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  Manifold learning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Style w:val="6"/>
          <w:rFonts w:hint="default" w:ascii="&amp;quot" w:hAnsi="&amp;quot" w:eastAsia="&amp;quot" w:cs="&amp;quot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按照Output: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Node embedding (the most common case)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Edge embedding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 Relations in knowledge graph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Link prediction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Sub-graph embedding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Substructure embedding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Community embedding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Whole-graph embedding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      Multiple small graphs, e.g., molecule, protein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6"/>
          <w:rFonts w:hint="default" w:ascii="&amp;quot" w:hAnsi="&amp;quot" w:eastAsia="&amp;quot" w:cs="&amp;quot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按照Method: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Matrix factorization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Singular value decomposition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Spectral decomposition (eigen-decomposition)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Random walk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Deep learning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Auto-encoder(SDNE)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Convolutional neural network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jc w:val="left"/>
        <w:rPr>
          <w:rFonts w:hint="default" w:ascii="&amp;quot" w:hAnsi="&amp;quot" w:eastAsia="&amp;quot" w:cs="&amp;quot"/>
          <w:b w:val="0"/>
        </w:rPr>
      </w:pPr>
      <w:r>
        <w:rPr>
          <w:rFonts w:hint="default" w:ascii="&amp;quot" w:hAnsi="&amp;quot" w:eastAsia="&amp;quot" w:cs="&amp;quot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Self-defined loss (LINE)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Maximizing edge reconstruction probability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Minimizing distance-based loss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   Minimizing margin-based ranking loss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2" w:name="t2"/>
      <w:bookmarkEnd w:id="2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3.  Motivation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 网络表示学习方法可以分成两个类别。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一种是Generative model（生成式模型），假定对于每一个顶点，在图中存在一个潜在的、真实的连续性分布 Ptrue(v|vc)， 图中的每条边都可以看作是从Ptrue里采样的一些样本。生成式方法都试图将边的似然概率最大化，来学习vertex embedding。例如DeepWalk (KDD 2014) and node2vec (KDD 2016)。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Discriminative Model（判别式模型）将两顶点联合作为feature，预测两点之间存在边的概率。例如SDNE (KDD 2016) and PPNE (DASFAA, 2017)。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LINE (WWW 2015) 尝试将两者结合起来。而最近非常popular的GAN设计了一个 game-theoretical minimax game 将两者结合。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3" w:name="t3"/>
      <w:bookmarkEnd w:id="3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4. GraphGAN Framework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Generator G(v|vc)  tries to fit the underlying true connectivity distribution ptrue(v|vc)，generates the most likely vertices to be connected with vc; Discriminator D(v; vc)  tries to distinguish well-connected vertex pairs from ill-connected ones, outputs a single scalar representing the probability of an edge existing between v and vc.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213"/>
          <w:tab w:val="right" w:pos="8306"/>
        </w:tabs>
        <w:spacing w:before="0" w:beforeAutospacing="0" w:after="192" w:afterAutospacing="0" w:line="312" w:lineRule="atLeast"/>
        <w:ind w:left="0" w:right="0" w:firstLine="0"/>
        <w:jc w:val="left"/>
        <w:rPr>
          <w:rFonts w:hint="eastAsia" w:ascii="&amp;quot" w:hAnsi="&amp;quot" w:eastAsia="宋体" w:cs="&amp;quot"/>
          <w:i w:val="0"/>
          <w:caps w:val="0"/>
          <w:color w:val="4D4D4D"/>
          <w:spacing w:val="0"/>
          <w:sz w:val="21"/>
          <w:szCs w:val="21"/>
          <w:u w:val="none"/>
          <w:lang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4D4D4D"/>
          <w:spacing w:val="0"/>
          <w:sz w:val="21"/>
          <w:szCs w:val="21"/>
          <w:u w:val="none"/>
          <w:lang w:eastAsia="zh-CN"/>
        </w:rPr>
        <w:tab/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drawing>
          <wp:inline distT="0" distB="0" distL="114300" distR="114300">
            <wp:extent cx="4451985" cy="2785745"/>
            <wp:effectExtent l="0" t="0" r="133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&amp;quot" w:hAnsi="&amp;quot" w:eastAsia="宋体" w:cs="&amp;quot"/>
          <w:i w:val="0"/>
          <w:caps w:val="0"/>
          <w:color w:val="4D4D4D"/>
          <w:spacing w:val="0"/>
          <w:sz w:val="21"/>
          <w:szCs w:val="21"/>
          <w:u w:val="none"/>
          <w:lang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对于上式，第一项的点是和vc真实相连的点sample出来的，第二项是从G生成的sample出来。给定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676275" cy="171450"/>
            <wp:effectExtent l="0" t="0" r="952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，想minimize这个式子，学习G的参数，使G生成的点尽量像真实分布；给定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666750" cy="171450"/>
            <wp:effectExtent l="0" t="0" r="3810" b="1143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，maximize这个式子，学习D的参数，使得D给真实连接的pair值大，G生成的值小。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4" w:name="t4"/>
      <w:bookmarkEnd w:id="4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5. Discriminator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Given positive samples from true connectivity distribution and negative samples from the generator, the objective for the discriminator is to maximize the log-probability of assigning the correct labels, which could be solved by stochastic gradient ascent. D 定义为输入的两个顶点的内积的sigmoid函数， update only dv and dvc by ascending the gradient.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drawing>
          <wp:inline distT="0" distB="0" distL="114300" distR="114300">
            <wp:extent cx="4824730" cy="2154555"/>
            <wp:effectExtent l="0" t="0" r="635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5" w:name="t5"/>
      <w:bookmarkEnd w:id="5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6. Generator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Because the sampling of v is discrete,  we propose computing the gradient of V (G; D) with respect to θG by policy gradient: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6591300" cy="3048000"/>
            <wp:effectExtent l="0" t="0" r="762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一种最直观的想法是用softmax来实现G，也就是将G(v|VC)定义成一个softmax函数。这种定义有如下两个问题：首先是计算复杂度过高，计算会涉及到图中所有的节点，而且求导也需要更新图中所有节点。这样一来，大规模图将难以适用。 另一个问题是没有考虑图的结构特征，即这些点和Vc的距离未被纳入考虑范围内。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在GraphGAN 中，目标是设计出一种softmax方法，让其满足如下三个要求。第一个要求是正则化，即概率和为 1，它必须是一个合法的概率分布。第二个要求是能感知图结构，并且能充分利用图的结构特征信息。最后一个要求是计算效率高，也就是G概率只能涉及到图中的少部分节点。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drawing>
          <wp:inline distT="0" distB="0" distL="114300" distR="114300">
            <wp:extent cx="5471795" cy="3229610"/>
            <wp:effectExtent l="0" t="0" r="14605" b="12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4210050" cy="2654300"/>
            <wp:effectExtent l="0" t="0" r="11430" b="1270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213"/>
          <w:tab w:val="right" w:pos="8306"/>
        </w:tabs>
        <w:spacing w:before="0" w:beforeAutospacing="0" w:after="192" w:afterAutospacing="0" w:line="312" w:lineRule="atLeast"/>
        <w:ind w:left="0" w:right="0" w:firstLine="0"/>
        <w:jc w:val="left"/>
        <w:rPr>
          <w:rFonts w:hint="eastAsia" w:ascii="&amp;quot" w:hAnsi="&amp;quot" w:eastAsia="宋体" w:cs="&amp;quot"/>
          <w:i w:val="0"/>
          <w:caps w:val="0"/>
          <w:color w:val="4D4D4D"/>
          <w:spacing w:val="0"/>
          <w:sz w:val="21"/>
          <w:szCs w:val="21"/>
          <w:u w:val="none"/>
          <w:lang w:eastAsia="zh-CN"/>
        </w:rPr>
      </w:pP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  <w:drawing>
          <wp:inline distT="0" distB="0" distL="114300" distR="114300">
            <wp:extent cx="5855335" cy="1215390"/>
            <wp:effectExtent l="0" t="0" r="12065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84" w:lineRule="atLeast"/>
        <w:ind w:left="0" w:right="0" w:firstLine="0"/>
        <w:jc w:val="left"/>
        <w:rPr>
          <w:rFonts w:ascii="&amp;quot" w:hAnsi="&amp;quot" w:eastAsia="&amp;quot" w:cs="&amp;quot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6" w:name="t6"/>
      <w:bookmarkEnd w:id="6"/>
      <w:r>
        <w:rPr>
          <w:rFonts w:hint="default" w:ascii="&amp;quot" w:hAnsi="&amp;quot" w:eastAsia="&amp;quot" w:cs="&amp;quot"/>
          <w:b w:val="0"/>
          <w:i w:val="0"/>
          <w:caps w:val="0"/>
          <w:color w:val="3399EA"/>
          <w:spacing w:val="0"/>
          <w:sz w:val="28"/>
          <w:szCs w:val="28"/>
          <w:u w:val="none"/>
          <w:bdr w:val="none" w:color="auto" w:sz="0" w:space="0"/>
        </w:rPr>
        <w:t>7. Algorithm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center"/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4848225" cy="4057650"/>
            <wp:effectExtent l="0" t="0" r="13335" b="1143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环境搭建使用pipenv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在pycharm中查看：</w:t>
      </w:r>
    </w:p>
    <w:p>
      <w:r>
        <w:drawing>
          <wp:inline distT="0" distB="0" distL="114300" distR="114300">
            <wp:extent cx="5272405" cy="3965575"/>
            <wp:effectExtent l="0" t="0" r="63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训练过程如下：</w:t>
      </w:r>
    </w:p>
    <w:p>
      <w:r>
        <w:drawing>
          <wp:inline distT="0" distB="0" distL="114300" distR="114300">
            <wp:extent cx="5270500" cy="202057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501D4"/>
    <w:multiLevelType w:val="multilevel"/>
    <w:tmpl w:val="88550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86A680"/>
    <w:multiLevelType w:val="multilevel"/>
    <w:tmpl w:val="A686A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1C4D53B"/>
    <w:multiLevelType w:val="multilevel"/>
    <w:tmpl w:val="C1C4D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34DB6AA"/>
    <w:multiLevelType w:val="multilevel"/>
    <w:tmpl w:val="C34DB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C7C46F6"/>
    <w:multiLevelType w:val="multilevel"/>
    <w:tmpl w:val="DC7C4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D247D8A"/>
    <w:multiLevelType w:val="multilevel"/>
    <w:tmpl w:val="0D247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3D71E3E"/>
    <w:multiLevelType w:val="multilevel"/>
    <w:tmpl w:val="43D71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25FDD56"/>
    <w:multiLevelType w:val="multilevel"/>
    <w:tmpl w:val="525FDD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9EDA15C"/>
    <w:multiLevelType w:val="multilevel"/>
    <w:tmpl w:val="69EDA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805D2"/>
    <w:rsid w:val="2B43091C"/>
    <w:rsid w:val="5952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Frank</dc:creator>
  <cp:lastModifiedBy>17 软3</cp:lastModifiedBy>
  <dcterms:modified xsi:type="dcterms:W3CDTF">2020-08-16T04:59:22Z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