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Holo-GNN: Project Update &amp; Architectural Evolution</w:t>
      </w:r>
    </w:p>
    <w:p>
      <w:pPr>
        <w:jc w:val="center"/>
      </w:pPr>
      <w:r>
        <w:t>Author: Md. Wali Ullah Khan</w:t>
        <w:br/>
        <w:t>Date: April 5, 2026</w:t>
      </w:r>
    </w:p>
    <w:p>
      <w:pPr>
        <w:pStyle w:val="Heading1"/>
      </w:pPr>
      <w:r>
        <w:t>1. Executive Summary</w:t>
      </w:r>
    </w:p>
    <w:p>
      <w:r>
        <w:t>This document serves as a comprehensive update on the Holo-GNN framework, detailing the identified bottlenecks in computational proteomics, our architectural solutions, the step-by-step evolution of the model up to Version 5.0, and our current empirical progress. This report is intended to provide a crystal-clear overview of the project's milestones and readiness for multi-task training.</w:t>
      </w:r>
    </w:p>
    <w:p>
      <w:pPr>
        <w:pStyle w:val="Heading1"/>
      </w:pPr>
      <w:r>
        <w:t>2. The Gaps in Current Models (Problem Statement)</w:t>
      </w:r>
    </w:p>
    <w:p>
      <w:r>
        <w:t>Modern computational proteomics models (like AlphaFold and DDMut) suffer from several critical bottlenecks:</w:t>
      </w:r>
    </w:p>
    <w:p>
      <w:pPr>
        <w:pStyle w:val="ListBullet"/>
      </w:pPr>
      <w:r>
        <w:rPr>
          <w:b/>
        </w:rPr>
        <w:t xml:space="preserve">MSA Dependency: </w:t>
      </w:r>
      <w:r>
        <w:t>Current state-of-the-art models rely heavily on Multiple Sequence Alignments (MSAs). These are computationally expensive and fail completely on synthetic or 'orphan' proteins that lack evolutionary history.</w:t>
      </w:r>
    </w:p>
    <w:p>
      <w:pPr>
        <w:pStyle w:val="ListBullet"/>
      </w:pPr>
      <w:r>
        <w:rPr>
          <w:b/>
        </w:rPr>
        <w:t xml:space="preserve">IDR Hallucination: </w:t>
      </w:r>
      <w:r>
        <w:t>Because models like AlphaFold are strictly trained to predict static 3D structures, they hallucinate rigid shapes for Intrinsically Disordered Regions (IDRs), misrepresenting their true dynamic and flexible ensembles.</w:t>
      </w:r>
    </w:p>
    <w:p>
      <w:pPr>
        <w:pStyle w:val="ListBullet"/>
      </w:pPr>
      <w:r>
        <w:rPr>
          <w:b/>
        </w:rPr>
        <w:t xml:space="preserve">Destabilization Bias: </w:t>
      </w:r>
      <w:r>
        <w:t>Experimental databases are heavily skewed towards destabilizing mutations. Naive machine learning models memorize this skew and inherently guess 'destabilizing' for novel variants, violating the physical laws of thermodynamic reversibility.</w:t>
      </w:r>
    </w:p>
    <w:p>
      <w:pPr>
        <w:pStyle w:val="Heading1"/>
      </w:pPr>
      <w:r>
        <w:t>3. Holo-GNN Architecture Overview</w:t>
      </w:r>
    </w:p>
    <w:p>
      <w:r>
        <w:t>Holo-GNN overcomes these gaps by employing a unified Dual-Track Geometric Stacking approach:</w:t>
      </w:r>
    </w:p>
    <w:p>
      <w:pPr>
        <w:pStyle w:val="ListBullet"/>
      </w:pPr>
      <w:r>
        <w:rPr>
          <w:b/>
        </w:rPr>
        <w:t xml:space="preserve">ESM-2 Embeddings: </w:t>
      </w:r>
      <w:r>
        <w:t>Replaces slow MSAs with single-sequence Protein Language Model embeddings, instantly granting the network a deep understanding of protein context.</w:t>
      </w:r>
    </w:p>
    <w:p>
      <w:pPr>
        <w:pStyle w:val="ListBullet"/>
      </w:pPr>
      <w:r>
        <w:rPr>
          <w:b/>
        </w:rPr>
        <w:t xml:space="preserve">Mechanistic Features: </w:t>
      </w:r>
      <w:r>
        <w:t>Injects true biological rules (Codon Adaptation Index, local charge, mRNA folding proxies) into the network to cure 'fragile generalization'.</w:t>
      </w:r>
    </w:p>
    <w:p>
      <w:pPr>
        <w:pStyle w:val="ListBullet"/>
      </w:pPr>
      <w:r>
        <w:rPr>
          <w:b/>
        </w:rPr>
        <w:t xml:space="preserve">Dynamic Attention Graphs: </w:t>
      </w:r>
      <w:r>
        <w:t>Extracts ESM-2 attention maps and feeds them into GATv2Conv layers to build 3D contact graphs without requiring pre-existing PDB crystal structures.</w:t>
      </w:r>
    </w:p>
    <w:p>
      <w:pPr>
        <w:jc w:val="center"/>
      </w:pPr>
      <w:r>
        <w:rPr>
          <w:b/>
          <w:color w:val="0066CC"/>
        </w:rPr>
        <w:t>[IMAGE PLACEHOLDER: Holo-GNN V5.0 Overall Architecture Flowchart]</w:t>
      </w:r>
    </w:p>
    <w:p>
      <w:pPr>
        <w:pStyle w:val="Heading1"/>
      </w:pPr>
      <w:r>
        <w:t>4. Architectural Evolution (V1.0 to V5.0)</w:t>
      </w:r>
    </w:p>
    <w:p>
      <w:pPr>
        <w:pStyle w:val="Heading2"/>
      </w:pPr>
      <w:r>
        <w:t>Version 1.0: The Cloud MVP</w:t>
      </w:r>
    </w:p>
    <w:p>
      <w:r>
        <w:t>Replaced MSAs with ESM-2 embeddings. Deployed the foundation on Google Vertex AI using a basic 1D linear graph fallback.</w:t>
      </w:r>
    </w:p>
    <w:p>
      <w:pPr>
        <w:pStyle w:val="Heading2"/>
      </w:pPr>
      <w:r>
        <w:t>Version 2.0: The Topological Upgrade</w:t>
      </w:r>
    </w:p>
    <w:p>
      <w:r>
        <w:t>Upgraded to a Dual-Track Graph. Extracted ESM-2 attention maps to dynamically build spatial edges, granting the model topological awareness of 3D physical contacts.</w:t>
      </w:r>
    </w:p>
    <w:p>
      <w:pPr>
        <w:pStyle w:val="Heading2"/>
      </w:pPr>
      <w:r>
        <w:t>Version 3.0: Mechanistic Injection</w:t>
      </w:r>
    </w:p>
    <w:p>
      <w:r>
        <w:t>Concatenated localized biological priors (mRNA folding energy, hydrophobicity proxies) directly into the graph node embeddings, forcing the network to learn fundamental translation kinetics.</w:t>
      </w:r>
    </w:p>
    <w:p>
      <w:pPr>
        <w:pStyle w:val="Heading2"/>
      </w:pPr>
      <w:r>
        <w:t>Version 4.0: The Thermodynamic Core</w:t>
      </w:r>
    </w:p>
    <w:p>
      <w:r>
        <w:t>Integrated a Siamese network architecture with a custom Antisymmetry Loss function. By feeding both forward and reverse mutations simultaneously, the model eradicated destabilization bias and successfully learned physical reversibility.</w:t>
      </w:r>
    </w:p>
    <w:p>
      <w:pPr>
        <w:jc w:val="center"/>
      </w:pPr>
      <w:r>
        <w:rPr>
          <w:b/>
          <w:color w:val="0066CC"/>
        </w:rPr>
        <w:t>[IMAGE PLACEHOLDER: Siamese Stability Head &amp; Antisymmetry Loss Diagram]</w:t>
      </w:r>
    </w:p>
    <w:p>
      <w:pPr>
        <w:pStyle w:val="Heading2"/>
      </w:pPr>
      <w:r>
        <w:t>Version 5.0: Production Scale (Current)</w:t>
      </w:r>
    </w:p>
    <w:p>
      <w:r>
        <w:t>Upgraded to GATv2 dynamic attention and added Residual Connections to prevent embedding over-smoothing. Injected true biological features (CAI and actual Charge). Scaled training to the massive 1.84 million MegaScale dataset utilizing a Cosine Annealing learning rate scheduler.</w:t>
      </w:r>
    </w:p>
    <w:p>
      <w:pPr>
        <w:pStyle w:val="Heading1"/>
      </w:pPr>
      <w:r>
        <w:t>5. Current Progress &amp; Empirical Results</w:t>
      </w:r>
    </w:p>
    <w:p>
      <w:r>
        <w:t>Holo-GNN V5.0 has successfully completed its production run on an NVIDIA L4 GPU. To support our upcoming Multi-Task learning phase, we also built an automated Master ETL Pipeline leveraging 16 vCPUs to successfully pre-process over 70GB of raw clinical and proteomic data (ClinVar, FireProtDB, MassIVE-KB, UniRef50) into highly optimized Parquet arrays.</w:t>
      </w:r>
    </w:p>
    <w:p>
      <w:pPr>
        <w:pStyle w:val="Heading3"/>
      </w:pPr>
      <w:r>
        <w:t>Test Set Benchmarks (MegaScale Unseen Pairs):</w:t>
      </w:r>
    </w:p>
    <w:p>
      <w:pPr>
        <w:pStyle w:val="ListBullet"/>
      </w:pPr>
      <w:r>
        <w:rPr>
          <w:b/>
        </w:rPr>
        <w:t xml:space="preserve">Pearson Correlation (r): </w:t>
      </w:r>
      <w:r>
        <w:t>0.7644</w:t>
      </w:r>
    </w:p>
    <w:p>
      <w:pPr>
        <w:pStyle w:val="ListBullet"/>
      </w:pPr>
      <w:r>
        <w:rPr>
          <w:b/>
        </w:rPr>
        <w:t xml:space="preserve">RMSE: </w:t>
      </w:r>
      <w:r>
        <w:t>2.0163 kcal/mol</w:t>
      </w:r>
    </w:p>
    <w:p>
      <w:pPr>
        <w:pStyle w:val="ListBullet"/>
      </w:pPr>
      <w:r>
        <w:rPr>
          <w:b/>
        </w:rPr>
        <w:t xml:space="preserve">Mean Antisymmetry Violation: </w:t>
      </w:r>
      <w:r>
        <w:t>0.7408 kcal/mol (Proving strict adherence to physics)</w:t>
      </w:r>
    </w:p>
    <w:p>
      <w:pPr>
        <w:jc w:val="center"/>
      </w:pPr>
      <w:r>
        <w:rPr>
          <w:b/>
          <w:color w:val="0066CC"/>
        </w:rPr>
        <w:t>[IMAGE PLACEHOLDER: Final V5.0 Loss Curves - Fidelity vs Antisymmetry]</w:t>
      </w:r>
    </w:p>
    <w:p>
      <w:pPr>
        <w:jc w:val="center"/>
      </w:pPr>
      <w:r>
        <w:rPr>
          <w:b/>
          <w:color w:val="0066CC"/>
        </w:rPr>
        <w:t>[IMAGE PLACEHOLDER: Predicted vs Experimental ΔΔG Scatter Plot]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