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Evaluación Final Transversal — ISY1101</w:t>
      </w:r>
    </w:p>
    <w:p>
      <w:pPr>
        <w:pStyle w:val="Heading2"/>
        <w:spacing w:after="40"/>
      </w:pPr>
      <w:r>
        <w:t xml:space="preserve">Introducción a Herramientas DevOps</w:t>
      </w:r>
    </w:p>
    <w:p>
      <w:pPr>
        <w:spacing w:after="160"/>
      </w:pPr>
      <w:r>
        <w:rPr>
          <w:i/>
          <w:iCs/>
        </w:rPr>
        <w:t xml:space="preserve">Informe técnico del encargo: automatización del ciclo de integración y entrega continua (CI/CD) de una plataforma de 3 capas (frontend, backend y base de datos relacional) contenerizada y desplegada en AWS.</w:t>
      </w:r>
    </w:p>
    <w:p>
      <w:pPr>
        <w:spacing w:after="160"/>
      </w:pPr>
      <w:r>
        <w:t xml:space="preserve">Integrante: Guillermo Santander</w:t>
      </w:r>
    </w:p>
    <w:p>
      <w:pPr>
        <w:spacing w:after="160"/>
      </w:pPr>
      <w:r>
        <w:t xml:space="preserve">Repositorio GitHub: https://github.com/Criptame/Proyecto_examen</w:t>
      </w:r>
    </w:p>
    <w:p>
      <w:pPr>
        <w:spacing w:after="160"/>
      </w:pPr>
      <w:r>
        <w:t xml:space="preserve">Fecha: 10 de julio de 2026</w:t>
      </w:r>
    </w:p>
    <w:p>
      <w:pPr>
        <w:pStyle w:val="Heading1"/>
        <w:spacing w:after="160" w:before="320"/>
      </w:pPr>
      <w:r>
        <w:t xml:space="preserve">1. Método de integración del sistema</w:t>
      </w:r>
    </w:p>
    <w:p>
      <w:pPr>
        <w:spacing w:after="160"/>
      </w:pPr>
      <w:r>
        <w:t xml:space="preserve">El sistema se compone de tres capas independientes que se comunican por HTTP/TCP dentro de una red interna, tanto en el entorno local como en la nube:</w:t>
      </w:r>
    </w:p>
    <w:p>
      <w:pPr>
        <w:pStyle w:val="ListParagraph"/>
        <w:numPr>
          <w:ilvl w:val="0"/>
          <w:numId w:val="1"/>
        </w:numPr>
        <w:spacing w:after="80"/>
      </w:pPr>
      <w:r>
        <w:t xml:space="preserve">Frontend (React + Vite): consume la API mediante peticiones fetch a la URL definida en la variable de entorno VITE_API_URL (fijada en tiempo de build).</w:t>
      </w:r>
    </w:p>
    <w:p>
      <w:pPr>
        <w:pStyle w:val="ListParagraph"/>
        <w:numPr>
          <w:ilvl w:val="0"/>
          <w:numId w:val="1"/>
        </w:numPr>
        <w:spacing w:after="80"/>
      </w:pPr>
      <w:r>
        <w:t xml:space="preserve">Backend (Node.js + Express): expone una API REST (/api/health y /api/tasks) y se conecta a PostgreSQL mediante el driver pg, usando variables de entorno para host, usuario, password y base de datos.</w:t>
      </w:r>
    </w:p>
    <w:p>
      <w:pPr>
        <w:pStyle w:val="ListParagraph"/>
        <w:numPr>
          <w:ilvl w:val="0"/>
          <w:numId w:val="1"/>
        </w:numPr>
        <w:spacing w:after="80"/>
      </w:pPr>
      <w:r>
        <w:t xml:space="preserve">Base de datos (PostgreSQL): en desarrollo local corre como contenedor dentro de docker-compose; en producción se usa Amazon RDS, alcanzable únicamente desde el backend.</w:t>
      </w:r>
    </w:p>
    <w:p>
      <w:pPr>
        <w:spacing w:after="160"/>
      </w:pPr>
      <w:r>
        <w:t xml:space="preserve">En AWS, un único Application Load Balancer (ALB) enruta el tráfico por path: la raíz ("/") va al servicio frontend y "/api/*" al servicio backend, de modo que ambos quedan bajo el mismo origen (mismo dominio/puerto), evitando problemas de CORS y dando una URL pública estable aunque las tareas Fargate cambien de dirección IP en cada despliegue. Por eso el frontend consulta el estado del backend en /api/health (bajo el prefijo enrutado al backend) en vez de /health.</w:t>
      </w:r>
    </w:p>
    <w:p>
      <w:pPr>
        <w:spacing w:after="160"/>
      </w:pPr>
      <w:r>
        <w:t xml:space="preserve">Repositorio público en GitHub, con historial de commits agrupado por etapa lógica del proyecto:</w:t>
      </w:r>
    </w:p>
    <w:p>
      <w:pPr>
        <w:spacing w:after="40" w:before="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55555"/>
          <w:sz w:val="18"/>
          <w:szCs w:val="18"/>
        </w:rPr>
        <w:t xml:space="preserve">Figura 1. Repositorio público en GitHub con el historial de commits del proyecto.</w:t>
      </w:r>
    </w:p>
    <w:p>
      <w:pPr>
        <w:pStyle w:val="Heading1"/>
        <w:spacing w:after="160" w:before="320"/>
      </w:pPr>
      <w:r>
        <w:t xml:space="preserve">2. Contenedores</w:t>
      </w:r>
    </w:p>
    <w:p>
      <w:pPr>
        <w:pStyle w:val="Heading2"/>
        <w:spacing w:after="120" w:before="240"/>
      </w:pPr>
      <w:r>
        <w:t xml:space="preserve">2.1 Imágenes Docker por componente</w:t>
      </w:r>
    </w:p>
    <w:p>
      <w:pPr>
        <w:spacing w:after="160"/>
      </w:pPr>
      <w:r>
        <w:t xml:space="preserve">Ambas imágenes usan build multietapa para minimizar tamaño y superficie de ataque:</w:t>
      </w:r>
    </w:p>
    <w:p>
      <w:pPr>
        <w:pStyle w:val="ListParagraph"/>
        <w:numPr>
          <w:ilvl w:val="0"/>
          <w:numId w:val="1"/>
        </w:numPr>
        <w:spacing w:after="80"/>
      </w:pPr>
      <w:r>
        <w:t xml:space="preserve">backend/Dockerfile: etapa "deps" instala dependencias de producción sobre node:20-alpine; etapa "runtime" copia solo node_modules y el código fuente, corre como usuario no-root ("node") y expone el puerto 3000.</w:t>
      </w:r>
    </w:p>
    <w:p>
      <w:pPr>
        <w:pStyle w:val="ListParagraph"/>
        <w:numPr>
          <w:ilvl w:val="0"/>
          <w:numId w:val="1"/>
        </w:numPr>
        <w:spacing w:after="80"/>
      </w:pPr>
      <w:r>
        <w:t xml:space="preserve">frontend/Dockerfile: etapa "build" compila la SPA con Vite sobre node:20-alpine; etapa "runtime" sirve los archivos estáticos con nginx:1.27-alpine, una imagen minimalista sin herramientas de build.</w:t>
      </w:r>
    </w:p>
    <w:p>
      <w:pPr>
        <w:spacing w:after="160"/>
      </w:pPr>
      <w:r>
        <w:t xml:space="preserve">Ambos Dockerfile incluyen HEALTHCHECK y se acompañan de un .dockerignore que excluye node_modules, archivos .env y artefactos de build, reduciendo el contexto de build y evitando filtrar secretos.</w:t>
      </w:r>
    </w:p>
    <w:p>
      <w:pPr>
        <w:pStyle w:val="Heading2"/>
        <w:spacing w:after="120" w:before="240"/>
      </w:pPr>
      <w:r>
        <w:t xml:space="preserve">2.2 Redes y orquestación local (docker-compose)</w:t>
      </w:r>
    </w:p>
    <w:p>
      <w:pPr>
        <w:spacing w:after="160"/>
      </w:pPr>
      <w:r>
        <w:t xml:space="preserve">docker-compose.yml define tres servicios (db, backend, frontend) conectados por una red bridge interna ("internal"). El backend depende de que la base de datos esté "healthy" (healthcheck con pg_isready) antes de arrancar, y el frontend depende del backend. La base de datos persiste su información en un volumen nombrado (db_data), y el schema inicial se carga automáticamente desde db/init.sql.</w:t>
      </w:r>
    </w:p>
    <w:p>
      <w:pPr>
        <w:pBdr>
          <w:top w:val="single" w:color="CBD5E1" w:sz="2"/>
          <w:bottom w:val="single" w:color="CBD5E1" w:sz="2"/>
          <w:left w:val="single" w:color="CBD5E1" w:sz="2"/>
          <w:right w:val="single" w:color="CBD5E1" w:sz="2"/>
        </w:pBdr>
        <w:shd w:fill="F1F5F9" w:val="clear"/>
        <w:spacing w:after="160"/>
      </w:pPr>
      <w:r>
        <w:rPr>
          <w:rFonts w:ascii="Consolas" w:cs="Consolas" w:eastAsia="Consolas" w:hAnsi="Consolas"/>
          <w:sz w:val="18"/>
          <w:szCs w:val="18"/>
        </w:rPr>
        <w:t xml:space="preserve">docker compose up --build
# frontend: http://localhost:5173
# backend:  http://localhost:3000/health</w:t>
      </w:r>
    </w:p>
    <w:p>
      <w:pPr>
        <w:spacing w:after="40" w:before="80"/>
        <w:jc w:val="center"/>
      </w:pPr>
      <w:r>
        <w:drawing>
          <wp:inline distT="0" distB="0" distL="0" distR="0">
            <wp:extent cx="4762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876300"/>
                    </a:xfrm>
                    <a:prstGeom prst="rect">
                      <a:avLst/>
                    </a:prstGeom>
                  </pic:spPr>
                </pic:pic>
              </a:graphicData>
            </a:graphic>
          </wp:inline>
        </w:drawing>
      </w:r>
    </w:p>
    <w:p>
      <w:pPr>
        <w:spacing w:after="200"/>
        <w:jc w:val="center"/>
      </w:pPr>
      <w:r>
        <w:rPr>
          <w:i/>
          <w:iCs/>
          <w:color w:val="555555"/>
          <w:sz w:val="18"/>
          <w:szCs w:val="18"/>
        </w:rPr>
        <w:t xml:space="preserve">Figura 2. Los tres contenedores (db, backend, frontend) corriendo localmente vía Docker Desktop.</w:t>
      </w:r>
    </w:p>
    <w:p>
      <w:pPr>
        <w:pStyle w:val="Heading1"/>
        <w:spacing w:after="160" w:before="320"/>
      </w:pPr>
      <w:r>
        <w:t xml:space="preserve">3. Registro de imágenes</w:t>
      </w:r>
    </w:p>
    <w:p>
      <w:pPr>
        <w:spacing w:after="160"/>
      </w:pPr>
      <w:r>
        <w:t xml:space="preserve">Las imágenes se publican en Amazon ECR (un repositorio por componente: eft-devops-frontend y eft-devops-backend), creados con escaneo de vulnerabilidades activado al hacer push (image-scanning-configuration scanOnPush=true), tags inmutables (image-tag-mutability=IMMUTABLE) y una lifecycle policy que conserva solo las últimas 10 imágenes por repositorio.</w:t>
      </w:r>
    </w:p>
    <w:p>
      <w:pPr>
        <w:spacing w:after="160"/>
      </w:pPr>
      <w:r>
        <w:t xml:space="preserve">Cada build del pipeline publica la imagen con un único tag: el SHA del commit que la generó (por ejemplo eft-devops-backend:29318c668edc). No se usa un tag mutable tipo "latest", justamente porque los repositorios son inmutables (un tag ya publicado no puede sobrescribirse) — así se evita el riesgo de que alguien reescriba silenciosamente qué imagen apunta a "latest". El job "deploy" del pipeline usa siempre ese tag por SHA al actualizar la task definition de ECS, dando trazabilidad total y determinística entre un commit de GitHub y la imagen efectivamente desplegada.</w:t>
      </w:r>
    </w:p>
    <w:p>
      <w:pPr>
        <w:pStyle w:val="Heading1"/>
        <w:spacing w:after="160" w:before="320"/>
      </w:pPr>
      <w:r>
        <w:t xml:space="preserve">4. CI/CD</w:t>
      </w:r>
    </w:p>
    <w:p>
      <w:pPr>
        <w:spacing w:after="160"/>
      </w:pPr>
      <w:r>
        <w:t xml:space="preserve">El pipeline está definido en .github/workflows/ci-cd.yml y se ejecuta en cada push a main (y manualmente vía workflow_dispatch). Tiene tres jobs secuenciales: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rPr>
        <w:tc>
          <w:tcPr>
            <w:tcW w:type="dxa" w:w="2600"/>
            <w:shd w:fill="1E293B" w:val="clear"/>
          </w:tcPr>
          <w:p>
            <w:r>
              <w:rPr>
                <w:b/>
                <w:bCs/>
                <w:color w:val="FFFFFF"/>
                <w:sz w:val="20"/>
                <w:szCs w:val="20"/>
              </w:rPr>
              <w:t xml:space="preserve">Job</w:t>
            </w:r>
          </w:p>
        </w:tc>
        <w:tc>
          <w:tcPr>
            <w:tcW w:type="dxa" w:w="6800"/>
            <w:shd w:fill="1E293B" w:val="clear"/>
          </w:tcPr>
          <w:p>
            <w:r>
              <w:rPr>
                <w:b/>
                <w:bCs/>
                <w:color w:val="FFFFFF"/>
                <w:sz w:val="20"/>
                <w:szCs w:val="20"/>
              </w:rPr>
              <w:t xml:space="preserve">Qué hace</w:t>
            </w:r>
          </w:p>
        </w:tc>
      </w:tr>
      <w:tr>
        <w:trPr>
          <w:cantSplit/>
        </w:trPr>
        <w:tc>
          <w:tcPr>
            <w:tcW w:type="dxa" w:w="2600"/>
          </w:tcPr>
          <w:p>
            <w:r>
              <w:rPr>
                <w:b w:val="false"/>
                <w:bCs w:val="false"/>
                <w:color w:val="000000"/>
                <w:sz w:val="20"/>
                <w:szCs w:val="20"/>
              </w:rPr>
              <w:t xml:space="preserve">build-and-test</w:t>
            </w:r>
          </w:p>
        </w:tc>
        <w:tc>
          <w:tcPr>
            <w:tcW w:type="dxa" w:w="6800"/>
          </w:tcPr>
          <w:p>
            <w:r>
              <w:rPr>
                <w:b w:val="false"/>
                <w:bCs w:val="false"/>
                <w:color w:val="000000"/>
                <w:sz w:val="20"/>
                <w:szCs w:val="20"/>
              </w:rPr>
              <w:t xml:space="preserve">Instala dependencias, corre las pruebas unitarias del backend (node:test sobre el módulo de validación), compila el frontend, construye ambas imágenes Docker (sin publicarlas) y las escanea con Trivy (severidad CRITICAL/HIGH, no bloqueante).</w:t>
            </w:r>
          </w:p>
        </w:tc>
      </w:tr>
      <w:tr>
        <w:trPr>
          <w:cantSplit/>
        </w:trPr>
        <w:tc>
          <w:tcPr>
            <w:tcW w:type="dxa" w:w="2600"/>
          </w:tcPr>
          <w:p>
            <w:r>
              <w:rPr>
                <w:b w:val="false"/>
                <w:bCs w:val="false"/>
                <w:color w:val="000000"/>
                <w:sz w:val="20"/>
                <w:szCs w:val="20"/>
              </w:rPr>
              <w:t xml:space="preserve">push</w:t>
            </w:r>
          </w:p>
        </w:tc>
        <w:tc>
          <w:tcPr>
            <w:tcW w:type="dxa" w:w="6800"/>
          </w:tcPr>
          <w:p>
            <w:r>
              <w:rPr>
                <w:b w:val="false"/>
                <w:bCs w:val="false"/>
                <w:color w:val="000000"/>
                <w:sz w:val="20"/>
                <w:szCs w:val="20"/>
              </w:rPr>
              <w:t xml:space="preserve">Se autentica en Amazon ECR con las credenciales del usuario IAM dedicado (GitHub Secrets) y publica ambas imágenes con un único tag: el SHA del commit.</w:t>
            </w:r>
          </w:p>
        </w:tc>
      </w:tr>
      <w:tr>
        <w:trPr>
          <w:cantSplit/>
        </w:trPr>
        <w:tc>
          <w:tcPr>
            <w:tcW w:type="dxa" w:w="2600"/>
          </w:tcPr>
          <w:p>
            <w:r>
              <w:rPr>
                <w:b w:val="false"/>
                <w:bCs w:val="false"/>
                <w:color w:val="000000"/>
                <w:sz w:val="20"/>
                <w:szCs w:val="20"/>
              </w:rPr>
              <w:t xml:space="preserve">deploy</w:t>
            </w:r>
          </w:p>
        </w:tc>
        <w:tc>
          <w:tcPr>
            <w:tcW w:type="dxa" w:w="6800"/>
          </w:tcPr>
          <w:p>
            <w:r>
              <w:rPr>
                <w:b w:val="false"/>
                <w:bCs w:val="false"/>
                <w:color w:val="000000"/>
                <w:sz w:val="20"/>
                <w:szCs w:val="20"/>
              </w:rPr>
              <w:t xml:space="preserve">Renderiza las task definitions (infra/ecs/task-def-*.json) con la nueva imagen y actualiza los servicios ECS (aws-actions/amazon-ecs-deploy-task-definition), esperando a que el despliegue quede estable antes de finalizar.</w:t>
            </w:r>
          </w:p>
        </w:tc>
      </w:tr>
    </w:tbl>
    <w:p>
      <w:pPr>
        <w:spacing w:after="160"/>
      </w:pPr>
      <w:r>
        <w:t xml:space="preserve"/>
      </w:r>
    </w:p>
    <w:p>
      <w:pPr>
        <w:spacing w:after="160"/>
      </w:pPr>
      <w:r>
        <w:t xml:space="preserve">La gestión de secretos del pipeline usa GitHub Secrets para las credenciales de AWS (AWS_ACCESS_KEY_ID / AWS_SECRET_ACCESS_KEY, más AWS_SESSION_TOKEN al trabajar sobre AWS Academy Learner Lab, donde las credenciales son temporales) y GitHub Variables para valores no sensibles (región, nombres de cluster/servicio/repositorio, DNS del ALB). Ninguna credencial queda escrita en el código ni en los archivos del repositorio.</w:t>
      </w:r>
    </w:p>
    <w:p>
      <w:pPr>
        <w:pStyle w:val="Heading1"/>
        <w:spacing w:after="160" w:before="320"/>
      </w:pPr>
      <w:r>
        <w:t xml:space="preserve">5. Infraestructura en la nube (AWS)</w:t>
      </w:r>
    </w:p>
    <w:p>
      <w:pPr>
        <w:spacing w:after="160"/>
      </w:pPr>
      <w:r>
        <w:t xml:space="preserve">El despliegue se realizó sobre una cuenta de AWS Academy Learner Lab (región us-east-1):</w:t>
      </w:r>
    </w:p>
    <w:p>
      <w:pPr>
        <w:spacing w:after="40" w:before="8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i/>
          <w:iCs/>
          <w:color w:val="555555"/>
          <w:sz w:val="18"/>
          <w:szCs w:val="18"/>
        </w:rPr>
        <w:t xml:space="preserve">Figura 3. Consola de AWS dentro de la sesión de AWS Academy Learner Lab utilizada para el despliegue.</w:t>
      </w:r>
    </w:p>
    <w:p>
      <w:pPr>
        <w:spacing w:after="160"/>
      </w:pPr>
      <w:r>
        <w:t xml:space="preserve">La infraestructura se define como scripts idempotentes en infra/ (ver infra/README.md) y se apoya en la VPC por defecto de la cuenta para evitar el costo y la complejidad de un NAT Gateway:</w:t>
      </w:r>
    </w:p>
    <w:p>
      <w:pPr>
        <w:pStyle w:val="ListParagraph"/>
        <w:numPr>
          <w:ilvl w:val="0"/>
          <w:numId w:val="1"/>
        </w:numPr>
        <w:spacing w:after="80"/>
      </w:pPr>
      <w:r>
        <w:t xml:space="preserve">VPC y subredes: se usa la VPC por defecto de la región, con al menos 2 subredes en distintas zonas de disponibilidad (requisito de ALB y de RDS).</w:t>
      </w:r>
    </w:p>
    <w:p>
      <w:pPr>
        <w:pStyle w:val="ListParagraph"/>
        <w:numPr>
          <w:ilvl w:val="0"/>
          <w:numId w:val="1"/>
        </w:numPr>
        <w:spacing w:after="80"/>
      </w:pPr>
      <w:r>
        <w:t xml:space="preserve">Security Groups: SG del ALB permite el puerto 80 desde Internet; SG del frontend solo acepta tráfico del SG del ALB (puerto 80); SG del backend solo acepta tráfico del SG del ALB (puerto 3000); SG de RDS solo acepta tráfico del SG del backend (puerto 5432). Ningún recurso interno queda expuesto directamente a Internet.</w:t>
      </w:r>
    </w:p>
    <w:p>
      <w:pPr>
        <w:pStyle w:val="ListParagraph"/>
        <w:numPr>
          <w:ilvl w:val="0"/>
          <w:numId w:val="1"/>
        </w:numPr>
        <w:spacing w:after="80"/>
      </w:pPr>
      <w:r>
        <w:t xml:space="preserve">Plataforma de despliegue: Amazon ECS en modo Fargate (sin servidores que administrar), con un servicio por componente (frontend, backend), cada uno con su propia task definition y healthcheck.</w:t>
      </w:r>
    </w:p>
    <w:p>
      <w:pPr>
        <w:pStyle w:val="ListParagraph"/>
        <w:numPr>
          <w:ilvl w:val="0"/>
          <w:numId w:val="1"/>
        </w:numPr>
        <w:spacing w:after="80"/>
      </w:pPr>
      <w:r>
        <w:t xml:space="preserve">Balanceo: un Application Load Balancer con un listener HTTP:80, enrutando por path hacia los target groups de frontend y backend (ver diagrama).</w:t>
      </w:r>
    </w:p>
    <w:p>
      <w:pPr>
        <w:pStyle w:val="ListParagraph"/>
        <w:numPr>
          <w:ilvl w:val="0"/>
          <w:numId w:val="1"/>
        </w:numPr>
        <w:spacing w:after="80"/>
      </w:pPr>
      <w:r>
        <w:t xml:space="preserve">Base de datos: Amazon RDS PostgreSQL (db.t3.micro), sin IP pública, alcanzable solo desde el Security Group del backend.</w:t>
      </w:r>
    </w:p>
    <w:p>
      <w:pPr>
        <w:spacing w:after="40" w:before="8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76550"/>
                    </a:xfrm>
                    <a:prstGeom prst="rect">
                      <a:avLst/>
                    </a:prstGeom>
                  </pic:spPr>
                </pic:pic>
              </a:graphicData>
            </a:graphic>
          </wp:inline>
        </w:drawing>
      </w:r>
    </w:p>
    <w:p>
      <w:pPr>
        <w:spacing w:after="200"/>
        <w:jc w:val="center"/>
      </w:pPr>
      <w:r>
        <w:rPr>
          <w:i/>
          <w:iCs/>
          <w:color w:val="555555"/>
          <w:sz w:val="18"/>
          <w:szCs w:val="18"/>
        </w:rPr>
        <w:t xml:space="preserve">Figura 4. Security Group de RDS en el momento de la migración manual del schema: la regla por IP (arriba) era temporal y se revocó apenas terminó la migración; la regla permanente (abajo, sin CIDR) es la que da acceso al Security Group del backend, la única que queda activa en el estado final.</w:t>
      </w:r>
    </w:p>
    <w:p>
      <w:pPr>
        <w:spacing w:after="40" w:before="80"/>
        <w:jc w:val="center"/>
      </w:pPr>
      <w:r>
        <w:drawing>
          <wp:inline distT="0" distB="0" distL="0" distR="0">
            <wp:extent cx="5905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76350"/>
                    </a:xfrm>
                    <a:prstGeom prst="rect">
                      <a:avLst/>
                    </a:prstGeom>
                  </pic:spPr>
                </pic:pic>
              </a:graphicData>
            </a:graphic>
          </wp:inline>
        </w:drawing>
      </w:r>
    </w:p>
    <w:p>
      <w:pPr>
        <w:spacing w:after="200"/>
        <w:jc w:val="center"/>
      </w:pPr>
      <w:r>
        <w:rPr>
          <w:i/>
          <w:iCs/>
          <w:color w:val="555555"/>
          <w:sz w:val="18"/>
          <w:szCs w:val="18"/>
        </w:rPr>
        <w:t xml:space="preserve">Figura 5. Instancia de RDS PostgreSQL en estado "Disponible".</w:t>
      </w:r>
    </w:p>
    <w:p>
      <w:pPr>
        <w:spacing w:after="160"/>
      </w:pPr>
      <w:r>
        <w:t xml:space="preserve">Diagrama de arquitectura (entorno local y despliegue en AWS):</w:t>
      </w:r>
    </w:p>
    <w:p>
      <w:pPr>
        <w:spacing w:after="40" w:before="80"/>
        <w:jc w:val="center"/>
      </w:pPr>
      <w:r>
        <w:drawing>
          <wp:inline distT="0" distB="0" distL="0" distR="0">
            <wp:extent cx="5905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447800"/>
                    </a:xfrm>
                    <a:prstGeom prst="rect">
                      <a:avLst/>
                    </a:prstGeom>
                  </pic:spPr>
                </pic:pic>
              </a:graphicData>
            </a:graphic>
          </wp:inline>
        </w:drawing>
      </w:r>
    </w:p>
    <w:p>
      <w:pPr>
        <w:spacing w:after="200"/>
        <w:jc w:val="center"/>
      </w:pPr>
      <w:r>
        <w:rPr>
          <w:i/>
          <w:iCs/>
          <w:color w:val="555555"/>
          <w:sz w:val="18"/>
          <w:szCs w:val="18"/>
        </w:rPr>
        <w:t xml:space="preserve">Figura 6. Diagrama de arquitectura: entorno local (docker-compose) y despliegue en AWS.</w:t>
      </w:r>
    </w:p>
    <w:p>
      <w:pPr>
        <w:pStyle w:val="Heading1"/>
        <w:spacing w:after="160" w:before="320"/>
      </w:pPr>
      <w:r>
        <w:t xml:space="preserve">6. Configuración y secretos</w:t>
      </w:r>
    </w:p>
    <w:p>
      <w:pPr>
        <w:spacing w:after="160"/>
      </w:pPr>
      <w:r>
        <w:t xml:space="preserve">Se sigue el principio de mínimo privilegio (IAM) en dos niveles distintos:</w:t>
      </w:r>
    </w:p>
    <w:p>
      <w:pPr>
        <w:pStyle w:val="ListParagraph"/>
        <w:numPr>
          <w:ilvl w:val="0"/>
          <w:numId w:val="1"/>
        </w:numPr>
        <w:spacing w:after="80"/>
      </w:pPr>
      <w:r>
        <w:t xml:space="preserve">Roles de ECS: en una cuenta AWS estándar, un "execution role" (permisos de AmazonECSTaskExecutionRolePolicy más un permiso adicional, acotado por ARN, para leer únicamente el secreto de la base de datos en Secrets Manager) y un "task role" separado, sin permisos adicionales. En AWS Academy Learner Lab la cuenta no permite crear roles IAM propios, así que el script infra/02-iam.sh detecta esa restricción automáticamente y reutiliza el rol "LabRole" ya provisto por el Lab para ambos roles de ECS.</w:t>
      </w:r>
    </w:p>
    <w:p>
      <w:pPr>
        <w:pStyle w:val="ListParagraph"/>
        <w:numPr>
          <w:ilvl w:val="0"/>
          <w:numId w:val="1"/>
        </w:numPr>
        <w:spacing w:after="80"/>
      </w:pPr>
      <w:r>
        <w:t xml:space="preserve">Usuario/credenciales de GitHub Actions: en una cuenta estándar, un usuario IAM dedicado con política propia (infra/iam/github-actions-deploy-policy.template.json) acotada a ECR + ECS + PassRole de los roles del proyecto. En AWS Academy, al no poder crear usuarios IAM, se usan las credenciales temporales de la propia sesión del Lab (expiran junto con ella).</w:t>
      </w:r>
    </w:p>
    <w:p>
      <w:pPr>
        <w:spacing w:after="160"/>
      </w:pPr>
      <w:r>
        <w:t xml:space="preserve">Las credenciales de la base de datos (usuario y password) se almacenan en AWS Secrets Manager y se inyectan en el contenedor del backend como variables de entorno gestionadas (bloque "secrets" de la task definition), no como texto plano en la imagen ni en el repositorio. Las credenciales de despliegue viven exclusivamente en GitHub Secrets, nunca en el código.</w:t>
      </w:r>
    </w:p>
    <w:p>
      <w:pPr>
        <w:pStyle w:val="Heading1"/>
        <w:spacing w:after="160" w:before="320"/>
      </w:pPr>
      <w:r>
        <w:t xml:space="preserve">7. Observabilidad</w:t>
      </w:r>
    </w:p>
    <w:p>
      <w:pPr>
        <w:spacing w:after="160"/>
      </w:pPr>
      <w:r>
        <w:t xml:space="preserve">Logs del pipeline: cada corrida de GitHub Actions deja un log detallado y descargable por job/step (build-and-test, push, deploy), incluyendo el resultado de las pruebas unitarias y del escaneo de vulnerabilidades.</w:t>
      </w:r>
    </w:p>
    <w:p>
      <w:pPr>
        <w:spacing w:after="160"/>
      </w:pPr>
      <w:r>
        <w:t xml:space="preserve">Logs de aplicación: ambas task definitions usan el log driver awslogs, enviando la salida de cada contenedor a los grupos /ecs/eft-devops-backend y /ecs/eft-devops-frontend en Amazon CloudWatch Logs. Estos logs fueron los que permitieron diagnosticar y corregir dos problemas reales durante el despliegue (ver sección 10).</w:t>
      </w:r>
    </w:p>
    <w:p>
      <w:pPr>
        <w:spacing w:after="160"/>
      </w:pPr>
      <w:r>
        <w:t xml:space="preserve">Métricas: el cluster ECS se crea con Container Insights habilitado (CPU, memoria, conteo de tareas por servicio) y el ALB reporta automáticamente RequestCount y TargetResponseTime. infra/07-observability.sh consolida ambas fuentes en un dashboard de CloudWatch (eft-devops-dashboard).</w:t>
      </w:r>
    </w:p>
    <w:p>
      <w:pPr>
        <w:pStyle w:val="Heading1"/>
        <w:spacing w:after="160" w:before="320"/>
      </w:pPr>
      <w:r>
        <w:t xml:space="preserve">8. Seguridad básica</w:t>
      </w:r>
    </w:p>
    <w:p>
      <w:pPr>
        <w:pStyle w:val="ListParagraph"/>
        <w:numPr>
          <w:ilvl w:val="0"/>
          <w:numId w:val="1"/>
        </w:numPr>
        <w:spacing w:after="80"/>
      </w:pPr>
      <w:r>
        <w:t xml:space="preserve">Imágenes base minimalistas: node:20-alpine y nginx:1.27-alpine (menor superficie de ataque que imágenes "full").</w:t>
      </w:r>
    </w:p>
    <w:p>
      <w:pPr>
        <w:pStyle w:val="ListParagraph"/>
        <w:numPr>
          <w:ilvl w:val="0"/>
          <w:numId w:val="1"/>
        </w:numPr>
        <w:spacing w:after="80"/>
      </w:pPr>
      <w:r>
        <w:t xml:space="preserve">Escaneo de vulnerabilidades: scanOnPush en ECR y un paso de Trivy en el pipeline (CRITICAL/HIGH) antes de publicar.</w:t>
      </w:r>
    </w:p>
    <w:p>
      <w:pPr>
        <w:pStyle w:val="ListParagraph"/>
        <w:numPr>
          <w:ilvl w:val="0"/>
          <w:numId w:val="1"/>
        </w:numPr>
        <w:spacing w:after="80"/>
      </w:pPr>
      <w:r>
        <w:t xml:space="preserve">Usuario no-root en el contenedor del backend (USER node).</w:t>
      </w:r>
    </w:p>
    <w:p>
      <w:pPr>
        <w:pStyle w:val="ListParagraph"/>
        <w:numPr>
          <w:ilvl w:val="0"/>
          <w:numId w:val="1"/>
        </w:numPr>
        <w:spacing w:after="80"/>
      </w:pPr>
      <w:r>
        <w:t xml:space="preserve">Puertos mínimos expuestos: el backend solo expone 3000 y el frontend solo 80; ninguno de los dos recibe tráfico salvo desde el ALB (por Security Group), y la base de datos no expone ningún puerto al exterior.</w:t>
      </w:r>
    </w:p>
    <w:p>
      <w:pPr>
        <w:pStyle w:val="ListParagraph"/>
        <w:numPr>
          <w:ilvl w:val="0"/>
          <w:numId w:val="1"/>
        </w:numPr>
        <w:spacing w:after="80"/>
      </w:pPr>
      <w:r>
        <w:t xml:space="preserve">Security Groups restrictivos y anidados (ALB → frontend/backend → RDS), en vez de reglas abiertas a 0.0.0.0/0 salvo en el punto de entrada público (puerto 80 del ALB).</w:t>
      </w:r>
    </w:p>
    <w:p>
      <w:pPr>
        <w:pStyle w:val="ListParagraph"/>
        <w:numPr>
          <w:ilvl w:val="0"/>
          <w:numId w:val="1"/>
        </w:numPr>
        <w:spacing w:after="80"/>
      </w:pPr>
      <w:r>
        <w:t xml:space="preserve">Tags de imagen inmutables en ECR (image-tag-mutability=IMMUTABLE), evitando que un tag ya publicado pueda sobrescribirse silenciosamente.</w:t>
      </w:r>
    </w:p>
    <w:p>
      <w:pPr>
        <w:pStyle w:val="ListParagraph"/>
        <w:numPr>
          <w:ilvl w:val="0"/>
          <w:numId w:val="1"/>
        </w:numPr>
        <w:spacing w:after="80"/>
      </w:pPr>
      <w:r>
        <w:t xml:space="preserve">Conexión cifrada (TLS) entre el backend y RDS PostgreSQL, requerida por la configuración por defecto de RDS.</w:t>
      </w:r>
    </w:p>
    <w:p>
      <w:pPr>
        <w:pStyle w:val="ListParagraph"/>
        <w:numPr>
          <w:ilvl w:val="0"/>
          <w:numId w:val="1"/>
        </w:numPr>
        <w:spacing w:after="80"/>
      </w:pPr>
      <w:r>
        <w:t xml:space="preserve">Acceso público a RDS deshabilitado ("Publicly accessible: No"): la única vez que se habilitó temporalmente fue para una migración manual puntual del schema inicial (ver Figura 4), revocando esa regla y el acceso público apenas terminó.</w:t>
      </w:r>
    </w:p>
    <w:p>
      <w:pPr>
        <w:pStyle w:val="Heading1"/>
        <w:spacing w:after="160" w:before="320"/>
      </w:pPr>
      <w:r>
        <w:t xml:space="preserve">9. Orquestación y escalabilidad</w:t>
      </w:r>
    </w:p>
    <w:p>
      <w:pPr>
        <w:spacing w:after="160"/>
      </w:pPr>
      <w:r>
        <w:t xml:space="preserve">Se eligió Amazon ECS en modo Fargate (en vez de un despliegue manual en instancias EC2) por los siguientes beneficios, evidenciados en el proyecto:</w:t>
      </w:r>
    </w:p>
    <w:p>
      <w:pPr>
        <w:pStyle w:val="ListParagraph"/>
        <w:numPr>
          <w:ilvl w:val="0"/>
          <w:numId w:val="1"/>
        </w:numPr>
        <w:spacing w:after="80"/>
      </w:pPr>
      <w:r>
        <w:t xml:space="preserve">Sin gestión de servidores: no hay que aprovisionar, parchear ni escalar instancias EC2 manualmente; AWS administra la capacidad subyacente.</w:t>
      </w:r>
    </w:p>
    <w:p>
      <w:pPr>
        <w:pStyle w:val="ListParagraph"/>
        <w:numPr>
          <w:ilvl w:val="0"/>
          <w:numId w:val="1"/>
        </w:numPr>
        <w:spacing w:after="80"/>
      </w:pPr>
      <w:r>
        <w:t xml:space="preserve">Autorecuperación: si una tarea falla su healthcheck, ECS la reemplaza automáticamente sin intervención manual, algo que un despliegue manual en una sola instancia no ofrece.</w:t>
      </w:r>
    </w:p>
    <w:p>
      <w:pPr>
        <w:pStyle w:val="ListParagraph"/>
        <w:numPr>
          <w:ilvl w:val="0"/>
          <w:numId w:val="1"/>
        </w:numPr>
        <w:spacing w:after="80"/>
      </w:pPr>
      <w:r>
        <w:t xml:space="preserve">Escalado automático: infra/06-autoscaling.sh configura un target tracking policy sobre el servicio backend (entre 1 y 3 tareas, objetivo 60% de CPU promedio), de modo que la cantidad de tareas sube o baja sola según la carga real.</w:t>
      </w:r>
    </w:p>
    <w:p>
      <w:pPr>
        <w:pStyle w:val="ListParagraph"/>
        <w:numPr>
          <w:ilvl w:val="0"/>
          <w:numId w:val="1"/>
        </w:numPr>
        <w:spacing w:after="80"/>
      </w:pPr>
      <w:r>
        <w:t xml:space="preserve">Despliegues sin downtime: ECS reemplaza tareas de forma incremental (rolling update) validando el healthcheck del ALB antes de retirar las tareas anteriores — así se corrigieron en caliente los dos problemas descritos en la sección 10, sin interrumpir el servicio.</w:t>
      </w:r>
    </w:p>
    <w:p>
      <w:pPr>
        <w:spacing w:after="160"/>
      </w:pPr>
      <w:r>
        <w:t xml:space="preserve">Esto contrasta con un despliegue manual en EC2, donde escalar, reemplazar una instancia caída o desplegar una nueva versión requeriría pasos operativos manuales (o herramientas adicionales) para lograr el mismo nivel de resiliencia.</w:t>
      </w:r>
    </w:p>
    <w:p>
      <w:pPr>
        <w:pStyle w:val="Heading1"/>
        <w:spacing w:after="160" w:before="320"/>
      </w:pPr>
      <w:r>
        <w:t xml:space="preserve">10. Verificación y funcionalidad</w:t>
      </w:r>
    </w:p>
    <w:p>
      <w:pPr>
        <w:spacing w:after="160"/>
      </w:pPr>
      <w:r>
        <w:t xml:space="preserve">El funcionamiento del sistema se verificó en tres niveles:</w:t>
      </w:r>
    </w:p>
    <w:p>
      <w:pPr>
        <w:pStyle w:val="ListParagraph"/>
        <w:numPr>
          <w:ilvl w:val="0"/>
          <w:numId w:val="1"/>
        </w:numPr>
        <w:spacing w:after="80"/>
      </w:pPr>
      <w:r>
        <w:t xml:space="preserve">Local: docker compose up --build levanta los tres servicios; se probó el endpoint /health (respuesta {"status":"ok","db":"up"}) y el CRUD completo de /api/tasks (creación, listado y validación de título vacío) contra la base de datos real.</w:t>
      </w:r>
    </w:p>
    <w:p>
      <w:pPr>
        <w:pStyle w:val="ListParagraph"/>
        <w:numPr>
          <w:ilvl w:val="0"/>
          <w:numId w:val="1"/>
        </w:numPr>
        <w:spacing w:after="80"/>
      </w:pPr>
      <w:r>
        <w:t xml:space="preserve">Pipeline: el job build-and-test corre las pruebas unitarias (node:test) en cada push, y falla el pipeline si no pasan, antes de siquiera intentar publicar o desplegar.</w:t>
      </w:r>
    </w:p>
    <w:p>
      <w:pPr>
        <w:pStyle w:val="ListParagraph"/>
        <w:numPr>
          <w:ilvl w:val="0"/>
          <w:numId w:val="1"/>
        </w:numPr>
        <w:spacing w:after="80"/>
      </w:pPr>
      <w:r>
        <w:t xml:space="preserve">Nube: tras el deploy, se verificó que el ALB reportara los targets de ambos servicios como "healthy" y se accedió a la aplicación por su URL pública, confirmando que el frontend carga y que puede leer/escribir tareas a través de "/api/*" contra la base de datos en RDS.</w:t>
      </w:r>
    </w:p>
    <w:p>
      <w:pPr>
        <w:spacing w:after="160"/>
      </w:pPr>
      <w:r>
        <w:t xml:space="preserve">Dos problemas reales aparecieron durante la verificación en la nube (no presentes en el entorno local) y quedaron documentados y corregidos como parte del proceso, evidenciando el valor de probar en un entorno real y no solo local:</w:t>
      </w:r>
    </w:p>
    <w:p>
      <w:pPr>
        <w:pStyle w:val="ListParagraph"/>
        <w:numPr>
          <w:ilvl w:val="0"/>
          <w:numId w:val="1"/>
        </w:numPr>
        <w:spacing w:after="80"/>
      </w:pPr>
      <w:r>
        <w:t xml:space="preserve">Conexión SSL a RDS: el backend fallaba en bucle porque RDS exige TLS por defecto y el driver pg no lo tenía habilitado ("no pg_hba.conf entry ... no encryption", visible en CloudWatch Logs). Se corrigió activando ssl condicionalmente vía la variable PGSSL, sin afectar el entorno local (que no usa TLS).</w:t>
      </w:r>
    </w:p>
    <w:p>
      <w:pPr>
        <w:pStyle w:val="ListParagraph"/>
        <w:numPr>
          <w:ilvl w:val="0"/>
          <w:numId w:val="1"/>
        </w:numPr>
        <w:spacing w:after="80"/>
      </w:pPr>
      <w:r>
        <w:t xml:space="preserve">Ruta de healthcheck del frontend: el frontend consultaba /health directo, pero el ALB solo enruta "/api/*" hacia el backend, así que esa llamada caía en el propio nginx del frontend (texto plano "ok") en vez del backend (JSON), rompiendo el parseo. Se corrigió exponiendo también /api/health en el backend y apuntando el frontend ahí.</w:t>
      </w:r>
    </w:p>
    <w:p>
      <w:pPr>
        <w:spacing w:after="160"/>
      </w:pPr>
      <w:r>
        <w:t xml:space="preserve">El schema inicial de la base de datos (db/init.sql) se aplicó una única vez contra RDS de forma manual, ya que ese script solo se autoejecuta en el Postgres local de docker-compose:</w:t>
      </w:r>
    </w:p>
    <w:p>
      <w:pPr>
        <w:spacing w:after="40" w:before="80"/>
        <w:jc w:val="center"/>
      </w:pPr>
      <w:r>
        <w:drawing>
          <wp:inline distT="0" distB="0" distL="0" distR="0">
            <wp:extent cx="5334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2450"/>
                    </a:xfrm>
                    <a:prstGeom prst="rect">
                      <a:avLst/>
                    </a:prstGeom>
                  </pic:spPr>
                </pic:pic>
              </a:graphicData>
            </a:graphic>
          </wp:inline>
        </w:drawing>
      </w:r>
    </w:p>
    <w:p>
      <w:pPr>
        <w:spacing w:after="200"/>
        <w:jc w:val="center"/>
      </w:pPr>
      <w:r>
        <w:rPr>
          <w:i/>
          <w:iCs/>
          <w:color w:val="555555"/>
          <w:sz w:val="18"/>
          <w:szCs w:val="18"/>
        </w:rPr>
        <w:t xml:space="preserve">Figura 7. Aplicación del schema inicial contra RDS (CREATE TABLE + 3 filas de ejemplo). La contraseña fue ocultada en la captura por seguridad.</w:t>
      </w:r>
    </w:p>
    <w:p>
      <w:pPr>
        <w:pStyle w:val="Heading1"/>
        <w:spacing w:after="160" w:before="320"/>
      </w:pPr>
      <w:r>
        <w:t xml:space="preserve">11. Conclusiones</w:t>
      </w:r>
    </w:p>
    <w:p>
      <w:pPr>
        <w:spacing w:after="160"/>
      </w:pPr>
      <w:r>
        <w:t xml:space="preserve">El proyecto automatiza de punta a punta el ciclo de vida de la aplicación: cada cambio en el código, al llegar a main, se prueba, se empaqueta en imágenes versionadas, se publica en un registro privado y se despliega en un entorno de nube orquestado, sin pasos manuales. La arquitectura elegida (ALB + ECS Fargate + RDS) prioriza simplicidad operativa y costo controlado (sin NAT Gateway, con auto scaling acotado) sin sacrificar buenas prácticas de seguridad (mínimo privilegio, secretos gestionados, red segmentada), y se validó funcionando end-to-end sobre una cuenta real de AWS Academy.</w:t>
      </w:r>
    </w:p>
    <w:p>
      <w:pPr>
        <w:spacing w:after="160"/>
      </w:pPr>
      <w:r>
        <w:t xml:space="preserve">Como trabajo futuro, el pipeline podría incorporar autenticación por OIDC (sin access keys de larga duración, viable en cuentas AWS estándar), HTTPS en el ALB con un certificado de ACM, y pruebas de integración end-to-end ejecutadas contra un entorno efímero antes del deploy a producción.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e3c119017ad810dbb8d25e05625a60bb7e1453.png"/><Relationship Id="rId8" Type="http://schemas.openxmlformats.org/officeDocument/2006/relationships/image" Target="media/f5798612a0a6626fecf211737ef88ec926138980.png"/><Relationship Id="rId9" Type="http://schemas.openxmlformats.org/officeDocument/2006/relationships/image" Target="media/2ebc2823bcefb91f4896dec2d724647b06368ae6.png"/><Relationship Id="rId10" Type="http://schemas.openxmlformats.org/officeDocument/2006/relationships/image" Target="media/cdfaeefa5cd9c4c1ef5f618bf5eb5eab1278cb83.png"/><Relationship Id="rId11" Type="http://schemas.openxmlformats.org/officeDocument/2006/relationships/image" Target="media/d4c41b91b4d9c622ec6ddb6d893428ed86b5fdf2.png"/><Relationship Id="rId12" Type="http://schemas.openxmlformats.org/officeDocument/2006/relationships/image" Target="media/74302df614dc9fab3ce5d149a7fd2e8460d5921f.png"/><Relationship Id="rId13" Type="http://schemas.openxmlformats.org/officeDocument/2006/relationships/image" Target="media/c25f9e99115425fa1db626ea8b0150fbe05f5e6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2026-07-11T00:11:52.543Z</dcterms:created>
  <dcterms:modified xsi:type="dcterms:W3CDTF">2026-07-11T00:11:52.544Z</dcterms:modified>
</cp:coreProperties>
</file>

<file path=docProps/custom.xml><?xml version="1.0" encoding="utf-8"?>
<Properties xmlns="http://schemas.openxmlformats.org/officeDocument/2006/custom-properties" xmlns:vt="http://schemas.openxmlformats.org/officeDocument/2006/docPropsVTypes"/>
</file>