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Ubuntu" w:cs="Ubuntu" w:eastAsia="Ubuntu" w:hAnsi="Ubuntu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 </w:t>
        <w:tab/>
        <w:tab/>
        <w:tab/>
        <w:tab/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Creazione di un sistema di autenticazione di base</w:t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Allora c’è da notare che nella nostra applicazione è possibile accedere a qualsiasi pagina, inserendo semplicemente l’url della pagina stessa, ovviamente questa cosa non è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accettabile.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</w:t>
        <w:br w:type="textWrapping"/>
        <w:br w:type="textWrapping"/>
        <w:t xml:space="preserve">Quindi dov’è il problema? </w:t>
        <w:br w:type="textWrapping"/>
        <w:br w:type="textWrapping"/>
        <w:t xml:space="preserve">Essensialmente se andiamo a dare un occhiata nella nostra applicazine, ciò che deve essere modificato risiede nella configurazione del routing.</w:t>
        <w:br w:type="textWrapping"/>
        <w:t xml:space="preserve">Quindi dobbiamo fare in modo che laddove si tengi di accedere a degli specifici url,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i quali dovrebbero essere protetti,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questi devono essere prima verificati, </w:t>
      </w:r>
      <w:r w:rsidDel="00000000" w:rsidR="00000000" w:rsidRPr="00000000">
        <w:rPr>
          <w:rFonts w:ascii="Ubuntu" w:cs="Ubuntu" w:eastAsia="Ubuntu" w:hAnsi="Ubuntu"/>
          <w:color w:val="ff0000"/>
          <w:sz w:val="24"/>
          <w:szCs w:val="24"/>
          <w:rtl w:val="0"/>
        </w:rPr>
        <w:t xml:space="preserve">in sostanza bisogna verificare che l’utente sia o meno connessio, se almeno autenticato all’interno della nostra applicazione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.</w:t>
        <w:br w:type="textWrapping"/>
        <w:br w:type="textWrapping"/>
        <w:t xml:space="preserve">Primo passaggio è di andare a creare un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nuova guardia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, come? </w:t>
        <w:br w:type="textWrapping"/>
        <w:t xml:space="preserve"> </w:t>
        <w:tab/>
        <w:t xml:space="preserve"> </w:t>
        <w:tab/>
        <w:t xml:space="preserve">       </w:t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4789909" cy="2663311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9909" cy="26633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t xml:space="preserve">Verrà creata la nostra guardia per le rotte/url e possiamo impostare una logica, ma prima di tutto andiamo a convalidare la sessione di login, abbiamo utilizzato il nostro sessioStorage nel ostro servizio dentro il quale viene gestita la logica di login.</w:t>
        <w:br w:type="textWrapping"/>
        <w:br w:type="textWrapping"/>
        <w:t xml:space="preserve">nella nostra guardia abbiamo dovuto utilizzare, due costanti, </w:t>
        <w:br w:type="textWrapping"/>
        <w:br w:type="textWrapping"/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userId 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recupera il valore della sessione per verificare se è presente nella memoria della sessione, se non è presente allora parte la seconda costante </w:t>
      </w: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router</w:t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t xml:space="preserve"> che ci serve per utilizzare il servizio di routing</w:t>
        <w:br w:type="textWrapping"/>
        <w:t xml:space="preserve"> </w:t>
        <w:tab/>
        <w:tab/>
        <w:t xml:space="preserve">       </w:t>
      </w:r>
      <w:r w:rsidDel="00000000" w:rsidR="00000000" w:rsidRPr="00000000">
        <w:rPr>
          <w:rFonts w:ascii="Ubuntu" w:cs="Ubuntu" w:eastAsia="Ubuntu" w:hAnsi="Ubuntu"/>
          <w:sz w:val="24"/>
          <w:szCs w:val="24"/>
        </w:rPr>
        <w:drawing>
          <wp:inline distB="114300" distT="114300" distL="114300" distR="114300">
            <wp:extent cx="5034938" cy="290335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4938" cy="29033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Ubuntu" w:cs="Ubuntu" w:eastAsia="Ubuntu" w:hAnsi="Ubuntu"/>
          <w:sz w:val="24"/>
          <w:szCs w:val="24"/>
          <w:rtl w:val="0"/>
        </w:rPr>
        <w:br w:type="textWrapping"/>
        <w:br w:type="textWrapping"/>
        <w:br w:type="textWrapping"/>
      </w:r>
    </w:p>
    <w:sectPr>
      <w:pgSz w:h="16834" w:w="11909" w:orient="portrait"/>
      <w:pgMar w:bottom="0" w:top="283.46456692913387" w:left="283.46456692913387" w:right="283.4645669291338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