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Scansione dei componenti con spring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Nel nostro progetto, avremo una file che sarà il cuore della nostra applicazione, in quanto rappresenta il punto di avvio dell’applicazione, questa classe è responsabile dell’avvio appunto dell’app, configurare il contesto di esecuzione,oltre che a gestire il ciclo di vita dell’app. Dentro questo file ci sono due importazioni di cui una è responsabile dell’avvio dell’applicazione ovvero: vedi img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438775" cy="2505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t xml:space="preserve">ma non solo perchè dà un riferimento al nome effettivo della nostra applicazione, quindi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dietro le quinte creerà il contesto dell’applicazione, registrerà tutti i bean e avvierà anche il server incorporato per 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impostazione predefinita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br w:type="textWrapping"/>
        <w:t xml:space="preserve"> che ci permette la configurazione, scansione dei componenti e configurazione.</w:t>
        <w:br w:type="textWrapping"/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l’annotazione che vediamo sulla classe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spring boot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è composta dalle seguenti annotazioni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6158630" cy="18499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8630" cy="184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@EnableAutoConfiguration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abilita il supporto della configurazione automatica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 @ComponentScan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abilita la scansione dei componenti, individuando i componenti dell’applicazione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@Configuration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è in grado di registrare altri bean con l’annotazione @Bean o importare altre classi di configurazione</w:t>
        <w:br w:type="textWrapping"/>
        <w:br w:type="textWrapping"/>
        <w:t xml:space="preserve">questi tre elementi combianti con altre classi formano il contesto di esecuzione di un’applicazione springboot.</w:t>
      </w:r>
    </w:p>
    <w:p w:rsidR="00000000" w:rsidDel="00000000" w:rsidP="00000000" w:rsidRDefault="00000000" w:rsidRPr="00000000" w14:paraId="00000007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ind w:left="0" w:firstLine="0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 </w:t>
        <w:tab/>
        <w:tab/>
        <w:tab/>
        <w:tab/>
        <w:t xml:space="preserve">Approfondimento sulla scansione dei componenti</w:t>
        <w:br w:type="textWrapping"/>
      </w:r>
    </w:p>
    <w:p w:rsidR="00000000" w:rsidDel="00000000" w:rsidP="00000000" w:rsidRDefault="00000000" w:rsidRPr="00000000" w14:paraId="0000000A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Per impostazione predefinita spring-boot attiva la scansione dei componenti dallo stesso pacchetto di dove è contenuto la classe di configurazione.</w:t>
        <w:br w:type="textWrapping"/>
        <w:t xml:space="preserve">Se abbiamo alti package in un pacchetto diverso di dov’è contenuto il file spring-application allora dobbiamo andare a dire a spring di scansionare questi pacchetti</w:t>
      </w:r>
    </w:p>
    <w:sectPr>
      <w:pgSz w:h="16834" w:w="11909" w:orient="portrait"/>
      <w:pgMar w:bottom="0" w:top="141.73228346456693" w:left="141.73228346456688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