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992.1259842519685"/>
        </w:tabs>
        <w:rPr>
          <w:rFonts w:ascii="Ubuntu" w:cs="Ubuntu" w:eastAsia="Ubuntu" w:hAnsi="Ubuntu"/>
          <w:sz w:val="24"/>
          <w:szCs w:val="24"/>
        </w:rPr>
      </w:pPr>
      <w:r w:rsidDel="00000000" w:rsidR="00000000" w:rsidRPr="00000000">
        <w:rPr>
          <w:rFonts w:ascii="Ubuntu" w:cs="Ubuntu" w:eastAsia="Ubuntu" w:hAnsi="Ubuntu"/>
          <w:color w:val="ff0000"/>
          <w:sz w:val="24"/>
          <w:szCs w:val="24"/>
          <w:rtl w:val="0"/>
        </w:rPr>
        <w:t xml:space="preserve">  </w:t>
        <w:tab/>
        <w:tab/>
        <w:tab/>
        <w:tab/>
        <w:tab/>
        <w:tab/>
        <w:tab/>
        <w:t xml:space="preserve">Primary annotation</w:t>
        <w:br w:type="textWrapping"/>
        <w:br w:type="textWrapping"/>
      </w:r>
      <w:r w:rsidDel="00000000" w:rsidR="00000000" w:rsidRPr="00000000">
        <w:rPr>
          <w:rFonts w:ascii="Ubuntu" w:cs="Ubuntu" w:eastAsia="Ubuntu" w:hAnsi="Ubuntu"/>
          <w:sz w:val="24"/>
          <w:szCs w:val="24"/>
          <w:rtl w:val="0"/>
        </w:rPr>
        <w:t xml:space="preserve">Nel esercizio di prima nel quale abbiamo utilizzato l’operatore qualifier per specificare quale dipendenza doveva essre iniettata nel costruttore per eseguire l’applicazione, abbiamo un alternativa quando abbiamo diverse implementazioni come il nostro caso, avevamo più tipi diversi di allenatori, e il l’applicazione non veniva eseguita fin tanto che non specificavamo quale dipendenza volessimo usare, </w:t>
      </w:r>
      <w:r w:rsidDel="00000000" w:rsidR="00000000" w:rsidRPr="00000000">
        <w:rPr>
          <w:rFonts w:ascii="Ubuntu" w:cs="Ubuntu" w:eastAsia="Ubuntu" w:hAnsi="Ubuntu"/>
          <w:b w:val="1"/>
          <w:sz w:val="24"/>
          <w:szCs w:val="24"/>
          <w:rtl w:val="0"/>
        </w:rPr>
        <w:t xml:space="preserve">quindi siamo stati super specifici</w:t>
      </w:r>
      <w:r w:rsidDel="00000000" w:rsidR="00000000" w:rsidRPr="00000000">
        <w:rPr>
          <w:rFonts w:ascii="Ubuntu" w:cs="Ubuntu" w:eastAsia="Ubuntu" w:hAnsi="Ubuntu"/>
          <w:sz w:val="24"/>
          <w:szCs w:val="24"/>
          <w:rtl w:val="0"/>
        </w:rPr>
        <w:t xml:space="preserve">. </w:t>
        <w:br w:type="textWrapping"/>
        <w:br w:type="textWrapping"/>
        <w:t xml:space="preserve">Utilizzando questa notazione @Primary sopra una classe di tipo coach,  andiamo a dire che questa è l’implementazione di coach che vogliamo utilizzare di default</w:t>
        <w:br w:type="textWrapping"/>
        <w:br w:type="textWrapping"/>
      </w:r>
      <w:r w:rsidDel="00000000" w:rsidR="00000000" w:rsidRPr="00000000">
        <w:rPr>
          <w:rtl w:val="0"/>
        </w:rPr>
      </w:r>
    </w:p>
    <w:sectPr>
      <w:pgSz w:h="16834" w:w="11909" w:orient="portrait"/>
      <w:pgMar w:bottom="0" w:top="141.73228346456693" w:left="141.73228346456693" w:right="152.9527559055128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