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224D" w14:textId="77777777" w:rsidR="008B5DC6" w:rsidRPr="008B5DC6" w:rsidRDefault="008B5DC6" w:rsidP="008B5DC6">
      <w:pPr>
        <w:spacing w:after="0"/>
        <w:jc w:val="center"/>
        <w:rPr>
          <w:b/>
          <w:bCs/>
          <w:sz w:val="40"/>
          <w:szCs w:val="40"/>
          <w:u w:val="single"/>
          <w:lang w:val="es-PE"/>
        </w:rPr>
      </w:pPr>
      <w:r w:rsidRPr="008B5DC6">
        <w:rPr>
          <w:b/>
          <w:bCs/>
          <w:sz w:val="40"/>
          <w:szCs w:val="40"/>
          <w:u w:val="single"/>
          <w:lang w:val="es-PE"/>
        </w:rPr>
        <w:t xml:space="preserve">Lista de Observaciones a </w:t>
      </w:r>
    </w:p>
    <w:p w14:paraId="001D5611" w14:textId="6B72AFDA" w:rsidR="008B5DC6" w:rsidRDefault="008B5DC6" w:rsidP="008B5DC6">
      <w:pPr>
        <w:spacing w:after="0" w:line="240" w:lineRule="auto"/>
        <w:jc w:val="center"/>
        <w:rPr>
          <w:b/>
          <w:bCs/>
          <w:sz w:val="40"/>
          <w:szCs w:val="40"/>
          <w:lang w:val="es-PE"/>
        </w:rPr>
      </w:pPr>
      <w:r w:rsidRPr="008B5DC6">
        <w:rPr>
          <w:b/>
          <w:bCs/>
          <w:sz w:val="40"/>
          <w:szCs w:val="40"/>
          <w:u w:val="single"/>
          <w:lang w:val="es-PE"/>
        </w:rPr>
        <w:t>Revision Sistemática</w:t>
      </w:r>
    </w:p>
    <w:p w14:paraId="55850ABB" w14:textId="77777777" w:rsidR="008B5DC6" w:rsidRDefault="008B5DC6" w:rsidP="008B5DC6">
      <w:pPr>
        <w:spacing w:after="0" w:line="240" w:lineRule="auto"/>
        <w:jc w:val="center"/>
        <w:rPr>
          <w:b/>
          <w:bCs/>
          <w:sz w:val="40"/>
          <w:szCs w:val="40"/>
          <w:lang w:val="es-PE"/>
        </w:rPr>
      </w:pP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521"/>
        <w:gridCol w:w="4178"/>
        <w:gridCol w:w="2806"/>
        <w:gridCol w:w="4148"/>
        <w:gridCol w:w="1138"/>
        <w:gridCol w:w="1203"/>
      </w:tblGrid>
      <w:tr w:rsidR="008B5DC6" w:rsidRPr="008B5DC6" w14:paraId="354B33DA" w14:textId="77777777" w:rsidTr="008B5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DCB3D" w14:textId="77777777" w:rsidR="008B5DC6" w:rsidRPr="008B5DC6" w:rsidRDefault="008B5DC6" w:rsidP="008B5DC6">
            <w:pPr>
              <w:spacing w:before="240"/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N.°</w:t>
            </w:r>
          </w:p>
        </w:tc>
        <w:tc>
          <w:tcPr>
            <w:tcW w:w="0" w:type="auto"/>
            <w:hideMark/>
          </w:tcPr>
          <w:p w14:paraId="4B1AC325" w14:textId="77777777" w:rsidR="008B5DC6" w:rsidRPr="008B5DC6" w:rsidRDefault="008B5DC6" w:rsidP="008B5DC6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Observación</w:t>
            </w:r>
          </w:p>
        </w:tc>
        <w:tc>
          <w:tcPr>
            <w:tcW w:w="0" w:type="auto"/>
            <w:hideMark/>
          </w:tcPr>
          <w:p w14:paraId="5CBD3024" w14:textId="77777777" w:rsidR="008B5DC6" w:rsidRPr="008B5DC6" w:rsidRDefault="008B5DC6" w:rsidP="008B5DC6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Por qué debe corregirse</w:t>
            </w:r>
          </w:p>
        </w:tc>
        <w:tc>
          <w:tcPr>
            <w:tcW w:w="0" w:type="auto"/>
            <w:hideMark/>
          </w:tcPr>
          <w:p w14:paraId="60ECBCC7" w14:textId="77777777" w:rsidR="008B5DC6" w:rsidRPr="008B5DC6" w:rsidRDefault="008B5DC6" w:rsidP="008B5DC6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Cómo corregirla</w:t>
            </w:r>
          </w:p>
        </w:tc>
        <w:tc>
          <w:tcPr>
            <w:tcW w:w="0" w:type="auto"/>
            <w:hideMark/>
          </w:tcPr>
          <w:p w14:paraId="7513071D" w14:textId="77777777" w:rsidR="008B5DC6" w:rsidRPr="008B5DC6" w:rsidRDefault="008B5DC6" w:rsidP="008B5DC6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Prioridad</w:t>
            </w:r>
          </w:p>
        </w:tc>
        <w:tc>
          <w:tcPr>
            <w:tcW w:w="0" w:type="auto"/>
            <w:hideMark/>
          </w:tcPr>
          <w:p w14:paraId="7604E828" w14:textId="77777777" w:rsidR="008B5DC6" w:rsidRPr="008B5DC6" w:rsidRDefault="008B5DC6" w:rsidP="008B5DC6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Estado</w:t>
            </w:r>
          </w:p>
        </w:tc>
      </w:tr>
      <w:tr w:rsidR="008B5DC6" w:rsidRPr="008B5DC6" w14:paraId="0597865D" w14:textId="77777777" w:rsidTr="00975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21110CA3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shd w:val="clear" w:color="auto" w:fill="FFFF00"/>
            <w:hideMark/>
          </w:tcPr>
          <w:p w14:paraId="261E85E9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El título no coincide completamente con el contenido real del artículo.</w:t>
            </w:r>
            <w:r w:rsidRPr="008B5DC6">
              <w:rPr>
                <w:rFonts w:ascii="Calibri" w:hAnsi="Calibri" w:cs="Calibri"/>
              </w:rPr>
              <w:t xml:space="preserve"> El manuscrito se presenta como una revisión sobre </w:t>
            </w:r>
            <w:r w:rsidRPr="008B5DC6">
              <w:rPr>
                <w:rFonts w:ascii="Calibri" w:hAnsi="Calibri" w:cs="Calibri"/>
                <w:i/>
                <w:iCs/>
              </w:rPr>
              <w:t>serious games</w:t>
            </w:r>
            <w:r w:rsidRPr="008B5DC6">
              <w:rPr>
                <w:rFonts w:ascii="Calibri" w:hAnsi="Calibri" w:cs="Calibri"/>
              </w:rPr>
              <w:t>, pero el desarrollo real se enfoca de forma más amplia en reconocimiento emocional facial, machine learning y monitoreo terapéutico en TEA.</w:t>
            </w:r>
          </w:p>
        </w:tc>
        <w:tc>
          <w:tcPr>
            <w:tcW w:w="0" w:type="auto"/>
            <w:shd w:val="clear" w:color="auto" w:fill="FFFF00"/>
            <w:hideMark/>
          </w:tcPr>
          <w:p w14:paraId="7C03F410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Si el título promete algo más específico que lo realmente revisado, el artículo pierde coherencia conceptual y metodológica.</w:t>
            </w:r>
          </w:p>
        </w:tc>
        <w:tc>
          <w:tcPr>
            <w:tcW w:w="0" w:type="auto"/>
            <w:shd w:val="clear" w:color="auto" w:fill="FFFF00"/>
            <w:hideMark/>
          </w:tcPr>
          <w:p w14:paraId="3EB70166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 xml:space="preserve">Elegir una de dos opciones: </w:t>
            </w:r>
            <w:r w:rsidRPr="008B5DC6">
              <w:rPr>
                <w:rFonts w:ascii="Calibri" w:hAnsi="Calibri" w:cs="Calibri"/>
                <w:b/>
                <w:bCs/>
              </w:rPr>
              <w:t>(a)</w:t>
            </w:r>
            <w:r w:rsidRPr="008B5DC6">
              <w:rPr>
                <w:rFonts w:ascii="Calibri" w:hAnsi="Calibri" w:cs="Calibri"/>
              </w:rPr>
              <w:t xml:space="preserve"> cambiar el título para que refleje el verdadero alcance del estudio, o </w:t>
            </w:r>
            <w:r w:rsidRPr="008B5DC6">
              <w:rPr>
                <w:rFonts w:ascii="Calibri" w:hAnsi="Calibri" w:cs="Calibri"/>
                <w:b/>
                <w:bCs/>
              </w:rPr>
              <w:t>(b)</w:t>
            </w:r>
            <w:r w:rsidRPr="008B5DC6">
              <w:rPr>
                <w:rFonts w:ascii="Calibri" w:hAnsi="Calibri" w:cs="Calibri"/>
              </w:rPr>
              <w:t xml:space="preserve"> mantener el título y reformular búsqueda, criterios y discusión para que el eje sí sea estrictamente </w:t>
            </w:r>
            <w:r w:rsidRPr="008B5DC6">
              <w:rPr>
                <w:rFonts w:ascii="Calibri" w:hAnsi="Calibri" w:cs="Calibri"/>
                <w:i/>
                <w:iCs/>
              </w:rPr>
              <w:t>serious games</w:t>
            </w:r>
            <w:r w:rsidRPr="008B5DC6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shd w:val="clear" w:color="auto" w:fill="FFFF00"/>
            <w:hideMark/>
          </w:tcPr>
          <w:p w14:paraId="0DBD7C00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Alta</w:t>
            </w:r>
          </w:p>
        </w:tc>
        <w:tc>
          <w:tcPr>
            <w:tcW w:w="0" w:type="auto"/>
            <w:shd w:val="clear" w:color="auto" w:fill="FFFF00"/>
            <w:hideMark/>
          </w:tcPr>
          <w:p w14:paraId="394ACC97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068736C6" w14:textId="77777777" w:rsidTr="003B0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210A5888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shd w:val="clear" w:color="auto" w:fill="FFFF00"/>
            <w:hideMark/>
          </w:tcPr>
          <w:p w14:paraId="24F31C78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No se presenta una evaluación formal de calidad metodológica o riesgo de sesgo.</w:t>
            </w:r>
            <w:r w:rsidRPr="008B5DC6">
              <w:rPr>
                <w:rFonts w:ascii="Calibri" w:hAnsi="Calibri" w:cs="Calibri"/>
              </w:rPr>
              <w:t xml:space="preserve"> La sección correspondiente describe extracción de datos, pero no muestra una herramienta formal de </w:t>
            </w:r>
            <w:proofErr w:type="spellStart"/>
            <w:r w:rsidRPr="008B5DC6">
              <w:rPr>
                <w:rFonts w:ascii="Calibri" w:hAnsi="Calibri" w:cs="Calibri"/>
              </w:rPr>
              <w:t>appraisal</w:t>
            </w:r>
            <w:proofErr w:type="spellEnd"/>
            <w:r w:rsidRPr="008B5DC6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shd w:val="clear" w:color="auto" w:fill="FFFF00"/>
            <w:hideMark/>
          </w:tcPr>
          <w:p w14:paraId="1D97F0E0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En una revisión sistemática no solo se resume evidencia; también se debe valorar su calidad. Sin ello, todos los estudios parecen tener el mismo peso.</w:t>
            </w:r>
          </w:p>
        </w:tc>
        <w:tc>
          <w:tcPr>
            <w:tcW w:w="0" w:type="auto"/>
            <w:shd w:val="clear" w:color="auto" w:fill="FFFF00"/>
            <w:hideMark/>
          </w:tcPr>
          <w:p w14:paraId="69008D93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Incorporar una herramienta de evaluación de calidad o riesgo de sesgo, o justificar una matriz propia. Añadir una tabla por estudio con criterios explícitos de calidad metodológica.</w:t>
            </w:r>
          </w:p>
        </w:tc>
        <w:tc>
          <w:tcPr>
            <w:tcW w:w="0" w:type="auto"/>
            <w:shd w:val="clear" w:color="auto" w:fill="FFFF00"/>
            <w:hideMark/>
          </w:tcPr>
          <w:p w14:paraId="55443630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Alta</w:t>
            </w:r>
          </w:p>
        </w:tc>
        <w:tc>
          <w:tcPr>
            <w:tcW w:w="0" w:type="auto"/>
            <w:shd w:val="clear" w:color="auto" w:fill="FFFF00"/>
            <w:hideMark/>
          </w:tcPr>
          <w:p w14:paraId="34DFBDF5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5ACFDEB6" w14:textId="77777777" w:rsidTr="00975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0C4D0A72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shd w:val="clear" w:color="auto" w:fill="FFFF00"/>
            <w:hideMark/>
          </w:tcPr>
          <w:p w14:paraId="029679F4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Existe una contradicción entre los criterios de inclusión y los estudios finalmente analizados.</w:t>
            </w:r>
            <w:r w:rsidRPr="008B5DC6">
              <w:rPr>
                <w:rFonts w:ascii="Calibri" w:hAnsi="Calibri" w:cs="Calibri"/>
              </w:rPr>
              <w:t xml:space="preserve"> Se exige reporte de métricas cuantitativas, pero luego se indica que solo 13 de 34 estudios las reportan de forma extraíble.</w:t>
            </w:r>
          </w:p>
        </w:tc>
        <w:tc>
          <w:tcPr>
            <w:tcW w:w="0" w:type="auto"/>
            <w:shd w:val="clear" w:color="auto" w:fill="FFFF00"/>
            <w:hideMark/>
          </w:tcPr>
          <w:p w14:paraId="61D14481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Esto afecta la consistencia metodológica del artículo. El lector puede cuestionar la validez del corpus final.</w:t>
            </w:r>
          </w:p>
        </w:tc>
        <w:tc>
          <w:tcPr>
            <w:tcW w:w="0" w:type="auto"/>
            <w:shd w:val="clear" w:color="auto" w:fill="FFFF00"/>
            <w:hideMark/>
          </w:tcPr>
          <w:p w14:paraId="343DF1EB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Revisar los criterios de inclusión y hacerlos coherentes con los estudios realmente incorporados. Si se incluirán estudios cualitativos o exploratorios, debe decirse expresamente.</w:t>
            </w:r>
          </w:p>
        </w:tc>
        <w:tc>
          <w:tcPr>
            <w:tcW w:w="0" w:type="auto"/>
            <w:shd w:val="clear" w:color="auto" w:fill="FFFF00"/>
            <w:hideMark/>
          </w:tcPr>
          <w:p w14:paraId="477681D0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Alta</w:t>
            </w:r>
          </w:p>
        </w:tc>
        <w:tc>
          <w:tcPr>
            <w:tcW w:w="0" w:type="auto"/>
            <w:shd w:val="clear" w:color="auto" w:fill="FFFF00"/>
            <w:hideMark/>
          </w:tcPr>
          <w:p w14:paraId="285EE04E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6563ECDC" w14:textId="77777777" w:rsidTr="00975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739FC5CE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00"/>
            <w:hideMark/>
          </w:tcPr>
          <w:p w14:paraId="537459EF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El manejo de los artículos retractados no está totalmente claro.</w:t>
            </w:r>
            <w:r w:rsidRPr="008B5DC6">
              <w:rPr>
                <w:rFonts w:ascii="Calibri" w:hAnsi="Calibri" w:cs="Calibri"/>
              </w:rPr>
              <w:t xml:space="preserve"> Se mencionan tres artículos retractados, pero no queda del todo uniforme cómo fueron tratados en todos los análisis.</w:t>
            </w:r>
          </w:p>
        </w:tc>
        <w:tc>
          <w:tcPr>
            <w:tcW w:w="0" w:type="auto"/>
            <w:shd w:val="clear" w:color="auto" w:fill="FFFF00"/>
            <w:hideMark/>
          </w:tcPr>
          <w:p w14:paraId="31AB0775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Los artículos retractados no pueden seguir influyendo de manera ambigua en la síntesis, porque comprometen la credibilidad del trabajo.</w:t>
            </w:r>
          </w:p>
        </w:tc>
        <w:tc>
          <w:tcPr>
            <w:tcW w:w="0" w:type="auto"/>
            <w:shd w:val="clear" w:color="auto" w:fill="FFFF00"/>
            <w:hideMark/>
          </w:tcPr>
          <w:p w14:paraId="0949E0FC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Establecer una política única: excluirlos totalmente del corpus principal o tratarlos solo como advertencia ética en la discusión, sin que formen parte del análisis central.</w:t>
            </w:r>
          </w:p>
        </w:tc>
        <w:tc>
          <w:tcPr>
            <w:tcW w:w="0" w:type="auto"/>
            <w:shd w:val="clear" w:color="auto" w:fill="FFFF00"/>
            <w:hideMark/>
          </w:tcPr>
          <w:p w14:paraId="7248CFFA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Alta</w:t>
            </w:r>
          </w:p>
        </w:tc>
        <w:tc>
          <w:tcPr>
            <w:tcW w:w="0" w:type="auto"/>
            <w:shd w:val="clear" w:color="auto" w:fill="FFFF00"/>
            <w:hideMark/>
          </w:tcPr>
          <w:p w14:paraId="6E5F9F01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637C8E12" w14:textId="77777777" w:rsidTr="00975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4582ABBB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shd w:val="clear" w:color="auto" w:fill="FFFF00"/>
            <w:hideMark/>
          </w:tcPr>
          <w:p w14:paraId="41030FC8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La estrategia de búsqueda es limitada para el alcance del artículo.</w:t>
            </w:r>
            <w:r w:rsidRPr="008B5DC6">
              <w:rPr>
                <w:rFonts w:ascii="Calibri" w:hAnsi="Calibri" w:cs="Calibri"/>
              </w:rPr>
              <w:t xml:space="preserve"> Se restringe a tres bases, inglés, acceso abierto y sin literatura gris; además, no integra claramente términos asociados a serious games o intervención terapéutica.</w:t>
            </w:r>
          </w:p>
        </w:tc>
        <w:tc>
          <w:tcPr>
            <w:tcW w:w="0" w:type="auto"/>
            <w:shd w:val="clear" w:color="auto" w:fill="FFFF00"/>
            <w:hideMark/>
          </w:tcPr>
          <w:p w14:paraId="2D81463F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Una búsqueda limitada puede dejar fuera estudios importantes y debilitar la exhaustividad esperada en una revisión sistemática.</w:t>
            </w:r>
          </w:p>
        </w:tc>
        <w:tc>
          <w:tcPr>
            <w:tcW w:w="0" w:type="auto"/>
            <w:shd w:val="clear" w:color="auto" w:fill="FFFF00"/>
            <w:hideMark/>
          </w:tcPr>
          <w:p w14:paraId="5370A984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B5DC6">
              <w:rPr>
                <w:rFonts w:ascii="Calibri" w:hAnsi="Calibri" w:cs="Calibri"/>
              </w:rPr>
              <w:t xml:space="preserve">Ampliar la estrategia de búsqueda o justificar mejor sus límites. </w:t>
            </w:r>
            <w:proofErr w:type="spellStart"/>
            <w:r w:rsidRPr="008B5DC6">
              <w:rPr>
                <w:rFonts w:ascii="Calibri" w:hAnsi="Calibri" w:cs="Calibri"/>
                <w:lang w:val="en-US"/>
              </w:rPr>
              <w:t>Incorporar</w:t>
            </w:r>
            <w:proofErr w:type="spellEnd"/>
            <w:r w:rsidRPr="008B5DC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B5DC6">
              <w:rPr>
                <w:rFonts w:ascii="Calibri" w:hAnsi="Calibri" w:cs="Calibri"/>
                <w:lang w:val="en-US"/>
              </w:rPr>
              <w:t>términos</w:t>
            </w:r>
            <w:proofErr w:type="spellEnd"/>
            <w:r w:rsidRPr="008B5DC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B5DC6">
              <w:rPr>
                <w:rFonts w:ascii="Calibri" w:hAnsi="Calibri" w:cs="Calibri"/>
                <w:lang w:val="en-US"/>
              </w:rPr>
              <w:t>como</w:t>
            </w:r>
            <w:proofErr w:type="spellEnd"/>
            <w:r w:rsidRPr="008B5DC6">
              <w:rPr>
                <w:rFonts w:ascii="Calibri" w:hAnsi="Calibri" w:cs="Calibri"/>
                <w:lang w:val="en-US"/>
              </w:rPr>
              <w:t xml:space="preserve"> </w:t>
            </w:r>
            <w:r w:rsidRPr="008B5DC6">
              <w:rPr>
                <w:rFonts w:ascii="Calibri" w:hAnsi="Calibri" w:cs="Calibri"/>
                <w:i/>
                <w:iCs/>
                <w:lang w:val="en-US"/>
              </w:rPr>
              <w:t>serious games</w:t>
            </w:r>
            <w:r w:rsidRPr="008B5DC6">
              <w:rPr>
                <w:rFonts w:ascii="Calibri" w:hAnsi="Calibri" w:cs="Calibri"/>
                <w:lang w:val="en-US"/>
              </w:rPr>
              <w:t xml:space="preserve">, </w:t>
            </w:r>
            <w:r w:rsidRPr="008B5DC6">
              <w:rPr>
                <w:rFonts w:ascii="Calibri" w:hAnsi="Calibri" w:cs="Calibri"/>
                <w:i/>
                <w:iCs/>
                <w:lang w:val="en-US"/>
              </w:rPr>
              <w:t>game-based intervention</w:t>
            </w:r>
            <w:r w:rsidRPr="008B5DC6">
              <w:rPr>
                <w:rFonts w:ascii="Calibri" w:hAnsi="Calibri" w:cs="Calibri"/>
                <w:lang w:val="en-US"/>
              </w:rPr>
              <w:t xml:space="preserve">, </w:t>
            </w:r>
            <w:r w:rsidRPr="008B5DC6">
              <w:rPr>
                <w:rFonts w:ascii="Calibri" w:hAnsi="Calibri" w:cs="Calibri"/>
                <w:i/>
                <w:iCs/>
                <w:lang w:val="en-US"/>
              </w:rPr>
              <w:t>therapy</w:t>
            </w:r>
            <w:r w:rsidRPr="008B5DC6">
              <w:rPr>
                <w:rFonts w:ascii="Calibri" w:hAnsi="Calibri" w:cs="Calibri"/>
                <w:lang w:val="en-US"/>
              </w:rPr>
              <w:t xml:space="preserve">, </w:t>
            </w:r>
            <w:r w:rsidRPr="008B5DC6">
              <w:rPr>
                <w:rFonts w:ascii="Calibri" w:hAnsi="Calibri" w:cs="Calibri"/>
                <w:i/>
                <w:iCs/>
                <w:lang w:val="en-US"/>
              </w:rPr>
              <w:t>intervention</w:t>
            </w:r>
            <w:r w:rsidRPr="008B5DC6">
              <w:rPr>
                <w:rFonts w:ascii="Calibri" w:hAnsi="Calibri" w:cs="Calibri"/>
                <w:lang w:val="en-US"/>
              </w:rPr>
              <w:t xml:space="preserve">, </w:t>
            </w:r>
            <w:r w:rsidRPr="008B5DC6">
              <w:rPr>
                <w:rFonts w:ascii="Calibri" w:hAnsi="Calibri" w:cs="Calibri"/>
                <w:i/>
                <w:iCs/>
                <w:lang w:val="en-US"/>
              </w:rPr>
              <w:t>monitoring</w:t>
            </w:r>
            <w:r w:rsidRPr="008B5DC6">
              <w:rPr>
                <w:rFonts w:ascii="Calibri" w:hAnsi="Calibri" w:cs="Calibri"/>
                <w:lang w:val="en-US"/>
              </w:rPr>
              <w:t xml:space="preserve">, </w:t>
            </w:r>
            <w:r w:rsidRPr="008B5DC6">
              <w:rPr>
                <w:rFonts w:ascii="Calibri" w:hAnsi="Calibri" w:cs="Calibri"/>
                <w:i/>
                <w:iCs/>
                <w:lang w:val="en-US"/>
              </w:rPr>
              <w:t>mHealth</w:t>
            </w:r>
            <w:r w:rsidRPr="008B5DC6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0" w:type="auto"/>
            <w:shd w:val="clear" w:color="auto" w:fill="FFFF00"/>
            <w:hideMark/>
          </w:tcPr>
          <w:p w14:paraId="2424037F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Alta</w:t>
            </w:r>
          </w:p>
        </w:tc>
        <w:tc>
          <w:tcPr>
            <w:tcW w:w="0" w:type="auto"/>
            <w:shd w:val="clear" w:color="auto" w:fill="FFFF00"/>
            <w:hideMark/>
          </w:tcPr>
          <w:p w14:paraId="14A6F11C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123672C6" w14:textId="77777777" w:rsidTr="00975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3C632CA5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shd w:val="clear" w:color="auto" w:fill="FFFF00"/>
            <w:hideMark/>
          </w:tcPr>
          <w:p w14:paraId="43B48331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Se priorizó el “mejor valor” de ACC o AUC cuando un estudio reportaba varias configuraciones.</w:t>
            </w:r>
          </w:p>
        </w:tc>
        <w:tc>
          <w:tcPr>
            <w:tcW w:w="0" w:type="auto"/>
            <w:shd w:val="clear" w:color="auto" w:fill="FFFF00"/>
            <w:hideMark/>
          </w:tcPr>
          <w:p w14:paraId="7F19D30D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Esto puede introducir sesgo de optimismo y mostrar resultados más favorables de lo que realmente son.</w:t>
            </w:r>
          </w:p>
        </w:tc>
        <w:tc>
          <w:tcPr>
            <w:tcW w:w="0" w:type="auto"/>
            <w:shd w:val="clear" w:color="auto" w:fill="FFFF00"/>
            <w:hideMark/>
          </w:tcPr>
          <w:p w14:paraId="1CC29B47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Reemplazar esa estrategia por una más neutral: usar el modelo principal del artículo, reportar rangos o mostrar todos los resultados relevantes.</w:t>
            </w:r>
          </w:p>
        </w:tc>
        <w:tc>
          <w:tcPr>
            <w:tcW w:w="0" w:type="auto"/>
            <w:shd w:val="clear" w:color="auto" w:fill="FFFF00"/>
            <w:hideMark/>
          </w:tcPr>
          <w:p w14:paraId="70CBA884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Media</w:t>
            </w:r>
          </w:p>
        </w:tc>
        <w:tc>
          <w:tcPr>
            <w:tcW w:w="0" w:type="auto"/>
            <w:shd w:val="clear" w:color="auto" w:fill="FFFF00"/>
            <w:hideMark/>
          </w:tcPr>
          <w:p w14:paraId="500CB2DC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15C63273" w14:textId="77777777" w:rsidTr="00975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4DDDC908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shd w:val="clear" w:color="auto" w:fill="FFFF00"/>
            <w:hideMark/>
          </w:tcPr>
          <w:p w14:paraId="50760D19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Se mezclan diferentes tipos de estudios y tareas sin separarlos con suficiente claridad.</w:t>
            </w:r>
            <w:r w:rsidRPr="008B5DC6">
              <w:rPr>
                <w:rFonts w:ascii="Calibri" w:hAnsi="Calibri" w:cs="Calibri"/>
              </w:rPr>
              <w:t xml:space="preserve"> Hay trabajos sobre reconocimiento emocional, detección de TEA, eye-tracking, multimodalidad y monitoreo terapéutico.</w:t>
            </w:r>
          </w:p>
        </w:tc>
        <w:tc>
          <w:tcPr>
            <w:tcW w:w="0" w:type="auto"/>
            <w:shd w:val="clear" w:color="auto" w:fill="FFFF00"/>
            <w:hideMark/>
          </w:tcPr>
          <w:p w14:paraId="5BE16613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No todas esas tareas responden a la misma pregunta clínica ni tecnológica. Mezclarlas puede volver difusa la discusión.</w:t>
            </w:r>
          </w:p>
        </w:tc>
        <w:tc>
          <w:tcPr>
            <w:tcW w:w="0" w:type="auto"/>
            <w:shd w:val="clear" w:color="auto" w:fill="FFFF00"/>
            <w:hideMark/>
          </w:tcPr>
          <w:p w14:paraId="7115D99D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Reorganizar la síntesis en categorías claras: reconocimiento emocional facial, detección/clasificación de TEA, monitoreo terapéutico y prototipos o propuestas exploratorias.</w:t>
            </w:r>
          </w:p>
        </w:tc>
        <w:tc>
          <w:tcPr>
            <w:tcW w:w="0" w:type="auto"/>
            <w:shd w:val="clear" w:color="auto" w:fill="FFFF00"/>
            <w:hideMark/>
          </w:tcPr>
          <w:p w14:paraId="6E4A5FC2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Media</w:t>
            </w:r>
          </w:p>
        </w:tc>
        <w:tc>
          <w:tcPr>
            <w:tcW w:w="0" w:type="auto"/>
            <w:shd w:val="clear" w:color="auto" w:fill="FFFF00"/>
            <w:hideMark/>
          </w:tcPr>
          <w:p w14:paraId="36487BE8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005570B2" w14:textId="77777777" w:rsidTr="00975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6F8A1DF9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shd w:val="clear" w:color="auto" w:fill="FFFF00"/>
            <w:hideMark/>
          </w:tcPr>
          <w:p w14:paraId="20ACBC24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El concepto de “monitoreo terapéutico” necesita una definición operativa más precisa.</w:t>
            </w:r>
          </w:p>
        </w:tc>
        <w:tc>
          <w:tcPr>
            <w:tcW w:w="0" w:type="auto"/>
            <w:shd w:val="clear" w:color="auto" w:fill="FFFF00"/>
            <w:hideMark/>
          </w:tcPr>
          <w:p w14:paraId="1DBA6D19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 xml:space="preserve">Si este concepto es central en la originalidad del artículo, debe definirse con precisión para que el lector entienda qué </w:t>
            </w:r>
            <w:r w:rsidRPr="008B5DC6">
              <w:rPr>
                <w:rFonts w:ascii="Calibri" w:hAnsi="Calibri" w:cs="Calibri"/>
              </w:rPr>
              <w:lastRenderedPageBreak/>
              <w:t>estudios realmente lo abordan.</w:t>
            </w:r>
          </w:p>
        </w:tc>
        <w:tc>
          <w:tcPr>
            <w:tcW w:w="0" w:type="auto"/>
            <w:shd w:val="clear" w:color="auto" w:fill="FFFF00"/>
            <w:hideMark/>
          </w:tcPr>
          <w:p w14:paraId="13F81E85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lastRenderedPageBreak/>
              <w:t>Definir explícitamente qué se entiende por monitoreo terapéutico: seguimiento longitudinal, cambios intraindividuales, apoyo al terapeuta, medición sesión a sesión, etc.</w:t>
            </w:r>
          </w:p>
        </w:tc>
        <w:tc>
          <w:tcPr>
            <w:tcW w:w="0" w:type="auto"/>
            <w:shd w:val="clear" w:color="auto" w:fill="FFFF00"/>
            <w:hideMark/>
          </w:tcPr>
          <w:p w14:paraId="30B77DE7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Media</w:t>
            </w:r>
          </w:p>
        </w:tc>
        <w:tc>
          <w:tcPr>
            <w:tcW w:w="0" w:type="auto"/>
            <w:shd w:val="clear" w:color="auto" w:fill="FFFF00"/>
            <w:hideMark/>
          </w:tcPr>
          <w:p w14:paraId="0A65D97E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4CA142E4" w14:textId="77777777" w:rsidTr="00975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68D11FCC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shd w:val="clear" w:color="auto" w:fill="FFFF00"/>
            <w:hideMark/>
          </w:tcPr>
          <w:p w14:paraId="39BDCBB9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Algunas afirmaciones sobre TEA deben redactarse con mayor cautela.</w:t>
            </w:r>
            <w:r w:rsidRPr="008B5DC6">
              <w:rPr>
                <w:rFonts w:ascii="Calibri" w:hAnsi="Calibri" w:cs="Calibri"/>
              </w:rPr>
              <w:t xml:space="preserve"> La introducción presenta con fuerza las dificultades en reconocimiento emocional, pero el TEA es altamente heterogéneo.</w:t>
            </w:r>
          </w:p>
        </w:tc>
        <w:tc>
          <w:tcPr>
            <w:tcW w:w="0" w:type="auto"/>
            <w:shd w:val="clear" w:color="auto" w:fill="FFFF00"/>
            <w:hideMark/>
          </w:tcPr>
          <w:p w14:paraId="413D4EAD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Un lenguaje demasiado general puede simplificar en exceso una condición clínica diversa y compleja.</w:t>
            </w:r>
          </w:p>
        </w:tc>
        <w:tc>
          <w:tcPr>
            <w:tcW w:w="0" w:type="auto"/>
            <w:shd w:val="clear" w:color="auto" w:fill="FFFF00"/>
            <w:hideMark/>
          </w:tcPr>
          <w:p w14:paraId="68000DD9" w14:textId="77777777" w:rsidR="008B5DC6" w:rsidRPr="008B5DC6" w:rsidRDefault="008B5DC6" w:rsidP="008B5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 xml:space="preserve">Usar expresiones más matizadas: “muchos niños con TEA”, “una proporción de niños”, “patrones atípicos o diferenciales”, “variabilidad </w:t>
            </w:r>
            <w:proofErr w:type="spellStart"/>
            <w:r w:rsidRPr="008B5DC6">
              <w:rPr>
                <w:rFonts w:ascii="Calibri" w:hAnsi="Calibri" w:cs="Calibri"/>
              </w:rPr>
              <w:t>intraespectro</w:t>
            </w:r>
            <w:proofErr w:type="spellEnd"/>
            <w:r w:rsidRPr="008B5DC6">
              <w:rPr>
                <w:rFonts w:ascii="Calibri" w:hAnsi="Calibri" w:cs="Calibri"/>
              </w:rPr>
              <w:t>”.</w:t>
            </w:r>
          </w:p>
        </w:tc>
        <w:tc>
          <w:tcPr>
            <w:tcW w:w="0" w:type="auto"/>
            <w:shd w:val="clear" w:color="auto" w:fill="FFFF00"/>
            <w:hideMark/>
          </w:tcPr>
          <w:p w14:paraId="65203737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Media</w:t>
            </w:r>
          </w:p>
        </w:tc>
        <w:tc>
          <w:tcPr>
            <w:tcW w:w="0" w:type="auto"/>
            <w:shd w:val="clear" w:color="auto" w:fill="FFFF00"/>
            <w:hideMark/>
          </w:tcPr>
          <w:p w14:paraId="1FF31CB6" w14:textId="77777777" w:rsidR="008B5DC6" w:rsidRPr="008B5DC6" w:rsidRDefault="008B5DC6" w:rsidP="008B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  <w:tr w:rsidR="008B5DC6" w:rsidRPr="008B5DC6" w14:paraId="29FF9803" w14:textId="77777777" w:rsidTr="00975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618FF753" w14:textId="77777777" w:rsidR="008B5DC6" w:rsidRPr="008B5DC6" w:rsidRDefault="008B5DC6" w:rsidP="008B5DC6">
            <w:pPr>
              <w:jc w:val="center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shd w:val="clear" w:color="auto" w:fill="FFFF00"/>
            <w:hideMark/>
          </w:tcPr>
          <w:p w14:paraId="6B100477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  <w:b/>
                <w:bCs/>
              </w:rPr>
              <w:t>La presentación de resultados por pregunta de investigación puede resultar confusa.</w:t>
            </w:r>
            <w:r w:rsidRPr="008B5DC6">
              <w:rPr>
                <w:rFonts w:ascii="Calibri" w:hAnsi="Calibri" w:cs="Calibri"/>
              </w:rPr>
              <w:t xml:space="preserve"> Aparecen distintos subconjuntos: 34 estudios, 19 válidos para arquitectura ML, 13 con métricas cuantitativas, etc.</w:t>
            </w:r>
          </w:p>
        </w:tc>
        <w:tc>
          <w:tcPr>
            <w:tcW w:w="0" w:type="auto"/>
            <w:shd w:val="clear" w:color="auto" w:fill="FFFF00"/>
            <w:hideMark/>
          </w:tcPr>
          <w:p w14:paraId="608836D9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El lector puede perder de vista cuál es la base de análisis exacta en cada sección.</w:t>
            </w:r>
          </w:p>
        </w:tc>
        <w:tc>
          <w:tcPr>
            <w:tcW w:w="0" w:type="auto"/>
            <w:shd w:val="clear" w:color="auto" w:fill="FFFF00"/>
            <w:hideMark/>
          </w:tcPr>
          <w:p w14:paraId="64AD1924" w14:textId="77777777" w:rsidR="008B5DC6" w:rsidRPr="008B5DC6" w:rsidRDefault="008B5DC6" w:rsidP="008B5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Añadir una tabla resumen por cada RQ indicando: número de estudios analizados, criterios de exclusión específicos y relación con el total del corpus.</w:t>
            </w:r>
          </w:p>
        </w:tc>
        <w:tc>
          <w:tcPr>
            <w:tcW w:w="0" w:type="auto"/>
            <w:shd w:val="clear" w:color="auto" w:fill="FFFF00"/>
            <w:hideMark/>
          </w:tcPr>
          <w:p w14:paraId="5FAA7303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Media</w:t>
            </w:r>
          </w:p>
        </w:tc>
        <w:tc>
          <w:tcPr>
            <w:tcW w:w="0" w:type="auto"/>
            <w:shd w:val="clear" w:color="auto" w:fill="FFFF00"/>
            <w:hideMark/>
          </w:tcPr>
          <w:p w14:paraId="290B1A60" w14:textId="77777777" w:rsidR="008B5DC6" w:rsidRPr="008B5DC6" w:rsidRDefault="008B5DC6" w:rsidP="008B5D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5DC6">
              <w:rPr>
                <w:rFonts w:ascii="Calibri" w:hAnsi="Calibri" w:cs="Calibri"/>
              </w:rPr>
              <w:t>Pendiente</w:t>
            </w:r>
          </w:p>
        </w:tc>
      </w:tr>
    </w:tbl>
    <w:p w14:paraId="5CA6E99A" w14:textId="77777777" w:rsidR="008B5DC6" w:rsidRPr="008B5DC6" w:rsidRDefault="008B5DC6" w:rsidP="008B5DC6">
      <w:pPr>
        <w:spacing w:after="0" w:line="240" w:lineRule="auto"/>
        <w:jc w:val="center"/>
        <w:rPr>
          <w:rFonts w:ascii="Calibri" w:hAnsi="Calibri" w:cs="Calibri"/>
          <w:lang w:val="es-PE"/>
        </w:rPr>
      </w:pPr>
    </w:p>
    <w:sectPr w:rsidR="008B5DC6" w:rsidRPr="008B5DC6" w:rsidSect="008B5DC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C6"/>
    <w:rsid w:val="003154D7"/>
    <w:rsid w:val="003B0041"/>
    <w:rsid w:val="005648B1"/>
    <w:rsid w:val="0069755E"/>
    <w:rsid w:val="008B5DC6"/>
    <w:rsid w:val="0097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E9D74"/>
  <w15:chartTrackingRefBased/>
  <w15:docId w15:val="{7AB499D8-00C1-40B6-BADC-552FD0E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D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D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D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DC6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8B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3</Pages>
  <Words>787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Castaneda Alban</dc:creator>
  <cp:keywords/>
  <dc:description/>
  <cp:lastModifiedBy>Christopher PS</cp:lastModifiedBy>
  <cp:revision>2</cp:revision>
  <dcterms:created xsi:type="dcterms:W3CDTF">2026-03-05T00:21:00Z</dcterms:created>
  <dcterms:modified xsi:type="dcterms:W3CDTF">2026-03-06T17:14:00Z</dcterms:modified>
</cp:coreProperties>
</file>