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06AE" w:rsidRDefault="00E12B98" w:rsidP="00E12B98">
      <w:pPr>
        <w:jc w:val="center"/>
        <w:rPr>
          <w:rFonts w:ascii="Calibri" w:hAnsi="Calibri" w:cs="Calibri"/>
          <w:b/>
          <w:sz w:val="52"/>
        </w:rPr>
      </w:pPr>
      <w:r>
        <w:rPr>
          <w:rFonts w:ascii="Calibri" w:hAnsi="Calibri" w:cs="Calibri"/>
          <w:b/>
          <w:sz w:val="52"/>
        </w:rPr>
        <w:t>Galeria de Innovaciones Didacticas</w:t>
      </w:r>
    </w:p>
    <w:p w:rsidR="00E12B98" w:rsidRDefault="00E12B98" w:rsidP="00E12B98">
      <w:pPr>
        <w:jc w:val="center"/>
        <w:rPr>
          <w:rFonts w:ascii="Calibri" w:hAnsi="Calibri" w:cs="Calibri"/>
          <w:sz w:val="28"/>
        </w:rPr>
      </w:pPr>
      <w:r>
        <w:rPr>
          <w:rFonts w:ascii="Calibri" w:hAnsi="Calibri" w:cs="Calibri"/>
          <w:sz w:val="28"/>
        </w:rPr>
        <w:t>IND169 - Actividad 2</w:t>
      </w:r>
    </w:p>
    <w:p w:rsidR="00E12B98" w:rsidRDefault="00E12B98" w:rsidP="00E12B98">
      <w:pPr>
        <w:jc w:val="center"/>
        <w:rPr>
          <w:rFonts w:ascii="Calibri" w:hAnsi="Calibri" w:cs="Calibri"/>
        </w:rPr>
      </w:pPr>
      <w:r>
        <w:rPr>
          <w:rFonts w:ascii="Calibri" w:hAnsi="Calibri" w:cs="Calibri"/>
        </w:rPr>
        <w:t>Universidad de Cartagena - Julio 2026</w:t>
      </w:r>
    </w:p>
    <w:p w:rsidR="00E12B98" w:rsidRDefault="00E12B98" w:rsidP="00E12B98">
      <w:pPr>
        <w:rPr>
          <w:rFonts w:ascii="Calibri" w:hAnsi="Calibri" w:cs="Calibri"/>
        </w:rPr>
      </w:pPr>
    </w:p>
    <w:p w:rsidR="00E12B98" w:rsidRDefault="00E12B98" w:rsidP="00E12B98">
      <w:pPr>
        <w:rPr>
          <w:rFonts w:ascii="Calibri" w:hAnsi="Calibri" w:cs="Calibri"/>
        </w:rPr>
      </w:pPr>
    </w:p>
    <w:p w:rsidR="00E12B98" w:rsidRDefault="00E12B98" w:rsidP="00E12B98">
      <w:pPr>
        <w:rPr>
          <w:rFonts w:ascii="Calibri" w:hAnsi="Calibri" w:cs="Calibri"/>
          <w:b/>
          <w:sz w:val="32"/>
        </w:rPr>
      </w:pPr>
      <w:r>
        <w:rPr>
          <w:rFonts w:ascii="Calibri" w:hAnsi="Calibri" w:cs="Calibri"/>
          <w:b/>
          <w:sz w:val="32"/>
        </w:rPr>
        <w:t>1. Descripcion General de la Pagina Web</w:t>
      </w:r>
    </w:p>
    <w:p w:rsidR="00E12B98" w:rsidRDefault="00E12B98" w:rsidP="00E12B98">
      <w:pPr>
        <w:rPr>
          <w:rFonts w:ascii="Calibri" w:hAnsi="Calibri" w:cs="Calibri"/>
        </w:rPr>
      </w:pPr>
      <w:r>
        <w:rPr>
          <w:rFonts w:ascii="Calibri" w:hAnsi="Calibri" w:cs="Calibri"/>
        </w:rPr>
        <w:t>La Galeria de Innovaciones Didacticas es una SPA desarrollada con Angular 16 que funciona como un museo interactivo de cuatro proyectos de innovacion educativa. Combina TypeScript, CSS Animations y figuras dibujadas completamente en CSS (sin imagenes externas) para crear una experiencia visual inmersiva.</w:t>
      </w:r>
    </w:p>
    <w:p w:rsidR="00E12B98" w:rsidRDefault="00E12B98" w:rsidP="00E12B98">
      <w:pPr>
        <w:rPr>
          <w:rFonts w:ascii="Calibri" w:hAnsi="Calibri" w:cs="Calibri"/>
        </w:rPr>
      </w:pPr>
      <w:r>
        <w:rPr>
          <w:rFonts w:ascii="Calibri" w:hAnsi="Calibri" w:cs="Calibri"/>
        </w:rPr>
        <w:t>Navegabilidad:</w:t>
      </w:r>
    </w:p>
    <w:p w:rsidR="00E12B98" w:rsidRDefault="00E12B98" w:rsidP="00E12B98">
      <w:pPr>
        <w:rPr>
          <w:rFonts w:ascii="Calibri" w:hAnsi="Calibri" w:cs="Calibri"/>
        </w:rPr>
      </w:pPr>
      <w:r>
        <w:rPr>
          <w:rFonts w:ascii="Calibri" w:hAnsi="Calibri" w:cs="Calibri"/>
        </w:rPr>
        <w:t xml:space="preserve">  Ruta '/' - Galeria principal: muestra cuatro tarjetas tematicas (espacio, puzzle, juego, engranaje). La primera tarjeta (InnGenius) aparece destacada a ancho completo centrada, y las otras tres debajo en fila de 3 columnas. Cada tarjeta tiene 500px de altura, efectos 3D de inclinacion, brillo que sigue al mouse y ondas al hacer clic.</w:t>
      </w:r>
    </w:p>
    <w:p w:rsidR="00E12B98" w:rsidRDefault="00E12B98" w:rsidP="00E12B98">
      <w:pPr>
        <w:rPr>
          <w:rFonts w:ascii="Calibri" w:hAnsi="Calibri" w:cs="Calibri"/>
        </w:rPr>
      </w:pPr>
      <w:r>
        <w:rPr>
          <w:rFonts w:ascii="Calibri" w:hAnsi="Calibri" w:cs="Calibri"/>
        </w:rPr>
        <w:t xml:space="preserve">  Ruta '/experiencia/:id' - Detalle de galeria: presenta las 7 piezas de cada investigacion en un grid responsive. Cada pieza muestra icono, titulo, subtitulo, vista previa del contenido y etiquetas. Al hacer clic se abre un visor modal inmersivo con fondo tematico (nebulosa, circuito, CRT, mecanico) segun la galeria.</w:t>
      </w:r>
    </w:p>
    <w:p w:rsidR="00E12B98" w:rsidRDefault="00E12B98" w:rsidP="00E12B98">
      <w:pPr>
        <w:rPr>
          <w:rFonts w:ascii="Calibri" w:hAnsi="Calibri" w:cs="Calibri"/>
        </w:rPr>
      </w:pPr>
      <w:r>
        <w:rPr>
          <w:rFonts w:ascii="Calibri" w:hAnsi="Calibri" w:cs="Calibri"/>
        </w:rPr>
        <w:t xml:space="preserve">  Modal viewer: diseno lado a lado con el texto a la izquierda y una figura CSS unica (130x130px) a la derecha, relacionada con el contenido especifico de cada pieza. Las figuras entran con animacion de rebote y tienen glow pulsante. El texto tambien tiene animaciones de entrada escalonadas (titulo con barrido, contenido con revelado horizontal, tags con pop rebotado).</w:t>
      </w:r>
    </w:p>
    <w:p w:rsidR="00E12B98" w:rsidRDefault="00E12B98" w:rsidP="00E12B98">
      <w:pPr>
        <w:rPr>
          <w:rFonts w:ascii="Calibri" w:hAnsi="Calibri" w:cs="Calibri"/>
        </w:rPr>
      </w:pPr>
      <w:r>
        <w:rPr>
          <w:rFonts w:ascii="Calibri" w:hAnsi="Calibri" w:cs="Calibri"/>
        </w:rPr>
        <w:t>La pagina utiliza 28 figuras CSS unicas (una por pieza), con animaciones especificas que reflejan el contenido de cada una. Cada galeria tiene su propio esquema de color definido por la propiedad CSS '--accent'. Los fondos del visor incluyen particulas flotantes y anillos orbitales animados.</w:t>
      </w:r>
    </w:p>
    <w:p w:rsidR="00E12B98" w:rsidRDefault="00E12B98" w:rsidP="00E12B98">
      <w:pPr>
        <w:rPr>
          <w:rFonts w:ascii="Calibri" w:hAnsi="Calibri" w:cs="Calibri"/>
          <w:b/>
          <w:sz w:val="32"/>
        </w:rPr>
      </w:pPr>
      <w:r>
        <w:rPr>
          <w:rFonts w:ascii="Calibri" w:hAnsi="Calibri" w:cs="Calibri"/>
          <w:b/>
          <w:sz w:val="32"/>
        </w:rPr>
        <w:t>2. InnGenius (Tema: Espacio)</w:t>
      </w:r>
    </w:p>
    <w:p w:rsidR="00E12B98" w:rsidRDefault="00E12B98" w:rsidP="00E12B98">
      <w:pPr>
        <w:rPr>
          <w:rFonts w:ascii="Calibri" w:hAnsi="Calibri" w:cs="Calibri"/>
        </w:rPr>
      </w:pPr>
      <w:r>
        <w:rPr>
          <w:rFonts w:ascii="Calibri" w:hAnsi="Calibri" w:cs="Calibri"/>
        </w:rPr>
        <w:t>Metodologia colombiana de innovacion educativa basada en Design Thinking, implementada en 6 paises.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6"/>
        <w:gridCol w:w="2126"/>
        <w:gridCol w:w="2126"/>
        <w:gridCol w:w="2126"/>
      </w:tblGrid>
      <w:tr w:rsidR="00E12B98" w:rsidTr="00E12B98">
        <w:tblPrEx>
          <w:tblCellMar>
            <w:top w:w="0" w:type="dxa"/>
            <w:bottom w:w="0" w:type="dxa"/>
          </w:tblCellMar>
        </w:tblPrEx>
        <w:tc>
          <w:tcPr>
            <w:tcW w:w="2126" w:type="dxa"/>
            <w:shd w:val="clear" w:color="auto" w:fill="auto"/>
          </w:tcPr>
          <w:p w:rsidR="00E12B98" w:rsidRDefault="00E12B98" w:rsidP="00E12B98">
            <w:pPr>
              <w:rPr>
                <w:rFonts w:ascii="Calibri" w:hAnsi="Calibri" w:cs="Calibri"/>
                <w:b/>
                <w:sz w:val="20"/>
              </w:rPr>
            </w:pPr>
          </w:p>
          <w:p w:rsidR="00E12B98" w:rsidRDefault="00E12B98" w:rsidP="00E12B98">
            <w:pPr>
              <w:rPr>
                <w:rFonts w:ascii="Calibri" w:hAnsi="Calibri" w:cs="Calibri"/>
                <w:b/>
                <w:sz w:val="32"/>
              </w:rPr>
            </w:pPr>
            <w:r>
              <w:rPr>
                <w:rFonts w:ascii="Calibri" w:hAnsi="Calibri" w:cs="Calibri"/>
                <w:b/>
                <w:sz w:val="32"/>
              </w:rPr>
              <w:t>3. Biobots (Tema: Puzzle)</w:t>
            </w:r>
          </w:p>
          <w:p w:rsidR="00E12B98" w:rsidRDefault="00E12B98" w:rsidP="00E12B98">
            <w:pPr>
              <w:rPr>
                <w:rFonts w:ascii="Calibri" w:hAnsi="Calibri" w:cs="Calibri"/>
              </w:rPr>
            </w:pPr>
            <w:r>
              <w:rPr>
                <w:rFonts w:ascii="Calibri" w:hAnsi="Calibri" w:cs="Calibri"/>
              </w:rPr>
              <w:t>Programa de pensamiento computacional para zonas rurales sin internet, basado en gamificacion analogica.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6"/>
              <w:gridCol w:w="496"/>
              <w:gridCol w:w="497"/>
              <w:gridCol w:w="497"/>
            </w:tblGrid>
            <w:tr w:rsidR="00E12B98" w:rsidTr="00E12B98">
              <w:tblPrEx>
                <w:tblCellMar>
                  <w:top w:w="0" w:type="dxa"/>
                  <w:bottom w:w="0" w:type="dxa"/>
                </w:tblCellMar>
              </w:tblPrEx>
              <w:tc>
                <w:tcPr>
                  <w:tcW w:w="496" w:type="dxa"/>
                  <w:shd w:val="clear" w:color="auto" w:fill="auto"/>
                </w:tcPr>
                <w:p w:rsidR="00E12B98" w:rsidRDefault="00E12B98" w:rsidP="00E12B98">
                  <w:pPr>
                    <w:rPr>
                      <w:rFonts w:ascii="Calibri" w:hAnsi="Calibri" w:cs="Calibri"/>
                      <w:b/>
                      <w:sz w:val="20"/>
                    </w:rPr>
                  </w:pPr>
                </w:p>
                <w:p w:rsidR="00E12B98" w:rsidRDefault="00E12B98" w:rsidP="00E12B98">
                  <w:pPr>
                    <w:rPr>
                      <w:rFonts w:ascii="Calibri" w:hAnsi="Calibri" w:cs="Calibri"/>
                      <w:b/>
                      <w:sz w:val="32"/>
                    </w:rPr>
                  </w:pPr>
                  <w:r>
                    <w:rPr>
                      <w:rFonts w:ascii="Calibri" w:hAnsi="Calibri" w:cs="Calibri"/>
                      <w:b/>
                      <w:sz w:val="32"/>
                    </w:rPr>
                    <w:t>4. Eutopia (Tema: Game)</w:t>
                  </w:r>
                </w:p>
                <w:p w:rsidR="00E12B98" w:rsidRDefault="00E12B98" w:rsidP="00E12B98">
                  <w:pPr>
                    <w:rPr>
                      <w:rFonts w:ascii="Calibri" w:hAnsi="Calibri" w:cs="Calibri"/>
                    </w:rPr>
                  </w:pPr>
                  <w:r>
                    <w:rPr>
                      <w:rFonts w:ascii="Calibri" w:hAnsi="Calibri" w:cs="Calibri"/>
                    </w:rPr>
                    <w:t>Plataforma de gamificacion educativa con evaluacion automatizada, alineada con LOMLOE y ODS.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0"/>
                    <w:gridCol w:w="360"/>
                    <w:gridCol w:w="360"/>
                    <w:gridCol w:w="360"/>
                  </w:tblGrid>
                  <w:tr w:rsidR="00E12B98" w:rsidTr="00E12B98">
                    <w:tblPrEx>
                      <w:tblCellMar>
                        <w:top w:w="0" w:type="dxa"/>
                        <w:bottom w:w="0" w:type="dxa"/>
                      </w:tblCellMar>
                    </w:tblPrEx>
                    <w:tc>
                      <w:tcPr>
                        <w:tcW w:w="360" w:type="dxa"/>
                        <w:shd w:val="clear" w:color="auto" w:fill="auto"/>
                      </w:tcPr>
                      <w:p w:rsidR="00E12B98" w:rsidRDefault="00E12B98" w:rsidP="00E12B98">
                        <w:pPr>
                          <w:rPr>
                            <w:rFonts w:ascii="Calibri" w:hAnsi="Calibri" w:cs="Calibri"/>
                            <w:b/>
                            <w:sz w:val="20"/>
                          </w:rPr>
                        </w:pPr>
                      </w:p>
                      <w:p w:rsidR="00E12B98" w:rsidRDefault="00E12B98" w:rsidP="00E12B98">
                        <w:pPr>
                          <w:rPr>
                            <w:rFonts w:ascii="Calibri" w:hAnsi="Calibri" w:cs="Calibri"/>
                            <w:b/>
                            <w:sz w:val="32"/>
                          </w:rPr>
                        </w:pPr>
                        <w:r>
                          <w:rPr>
                            <w:rFonts w:ascii="Calibri" w:hAnsi="Calibri" w:cs="Calibri"/>
                            <w:b/>
                            <w:sz w:val="32"/>
                          </w:rPr>
                          <w:t>5. InnGenius - Investigacion (Tema: Engranaje)</w:t>
                        </w:r>
                      </w:p>
                      <w:p w:rsidR="00E12B98" w:rsidRDefault="00E12B98" w:rsidP="00E12B98">
                        <w:pPr>
                          <w:rPr>
                            <w:rFonts w:ascii="Calibri" w:hAnsi="Calibri" w:cs="Calibri"/>
                          </w:rPr>
                        </w:pPr>
                        <w:r>
                          <w:rPr>
                            <w:rFonts w:ascii="Calibri" w:hAnsi="Calibri" w:cs="Calibri"/>
                          </w:rPr>
                          <w:t>Fundamentos teoricos y metodologicos del modelo InnGenius, desde el pensamiento creativo hasta la prospectiva docente.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60"/>
                          <w:gridCol w:w="360"/>
                          <w:gridCol w:w="360"/>
                          <w:gridCol w:w="360"/>
                        </w:tblGrid>
                        <w:tr w:rsidR="00E12B98" w:rsidTr="00E12B98">
                          <w:tblPrEx>
                            <w:tblCellMar>
                              <w:top w:w="0" w:type="dxa"/>
                              <w:bottom w:w="0" w:type="dxa"/>
                            </w:tblCellMar>
                          </w:tblPrEx>
                          <w:tc>
                            <w:tcPr>
                              <w:tcW w:w="360" w:type="dxa"/>
                              <w:shd w:val="clear" w:color="auto" w:fill="auto"/>
                            </w:tcPr>
                            <w:p w:rsidR="00E12B98" w:rsidRDefault="00E12B98" w:rsidP="00E12B98">
                              <w:pPr>
                                <w:rPr>
                                  <w:rFonts w:ascii="Calibri" w:hAnsi="Calibri" w:cs="Calibri"/>
                                  <w:b/>
                                  <w:sz w:val="20"/>
                                </w:rPr>
                              </w:pPr>
                            </w:p>
                            <w:p w:rsidR="00E12B98" w:rsidRDefault="00E12B98" w:rsidP="00E12B98">
                              <w:pPr>
                                <w:rPr>
                                  <w:rFonts w:ascii="Calibri" w:hAnsi="Calibri" w:cs="Calibri"/>
                                  <w:b/>
                                  <w:sz w:val="32"/>
                                </w:rPr>
                              </w:pPr>
                              <w:r>
                                <w:rPr>
                                  <w:rFonts w:ascii="Calibri" w:hAnsi="Calibri" w:cs="Calibri"/>
                                  <w:b/>
                                  <w:sz w:val="32"/>
                                </w:rPr>
                                <w:t>6. Conclusion</w:t>
                              </w:r>
                            </w:p>
                            <w:p w:rsidR="00E12B98" w:rsidRDefault="00E12B98" w:rsidP="00E12B98">
                              <w:pPr>
                                <w:rPr>
                                  <w:rFonts w:ascii="Calibri" w:hAnsi="Calibri" w:cs="Calibri"/>
                                </w:rPr>
                              </w:pPr>
                              <w:r>
                                <w:rPr>
                                  <w:rFonts w:ascii="Calibri" w:hAnsi="Calibri" w:cs="Calibri"/>
                                </w:rPr>
                                <w:t>La Galeria de Innovaciones Didacticas demuestra como una aplicacion web Angular 16 puede combinar contenido academico significativo con diseno visual interactivo. Las 28 figuras CSS unicas, cada una vinculada al contenido especifico de su pieza, transforman la navegacion en una experiencia museistica inmersiva donde la forma y el contenido se refuerzan mutuamente. El uso de animaciones CSS puras, sin dependencia de imagenes externas, garantiza un rendimiento optimo y una experiencia visual coherente en todos los dispositivos.</w:t>
                              </w:r>
                            </w:p>
                            <w:p w:rsidR="00E12B98" w:rsidRPr="00E12B98" w:rsidRDefault="00E12B98" w:rsidP="00E12B98">
                              <w:pPr>
                                <w:rPr>
                                  <w:rFonts w:ascii="Calibri" w:hAnsi="Calibri" w:cs="Calibri"/>
                                  <w:b/>
                                  <w:sz w:val="20"/>
                                </w:rPr>
                              </w:pPr>
                              <w:bookmarkStart w:id="0" w:name="_GoBack"/>
                              <w:bookmarkEnd w:id="0"/>
                              <w:r>
                                <w:rPr>
                                  <w:rFonts w:ascii="Calibri" w:hAnsi="Calibri" w:cs="Calibri"/>
                                  <w:b/>
                                  <w:sz w:val="20"/>
                                </w:rPr>
                                <w:t>#</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Pieza</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Descripcion</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Figura CSS</w:t>
                              </w:r>
                            </w:p>
                          </w:tc>
                        </w:tr>
                        <w:tr w:rsidR="00E12B98" w:rsidTr="00E12B98">
                          <w:tblPrEx>
                            <w:tblCellMar>
                              <w:top w:w="0" w:type="dxa"/>
                              <w:bottom w:w="0" w:type="dxa"/>
                            </w:tblCellMar>
                          </w:tblPrEx>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1</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Pensamiento Creativo</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Menchen (2001), PISA 2022</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Cerebro con engranaje central giratorio</w:t>
                              </w:r>
                            </w:p>
                          </w:tc>
                        </w:tr>
                        <w:tr w:rsidR="00E12B98" w:rsidTr="00E12B98">
                          <w:tblPrEx>
                            <w:tblCellMar>
                              <w:top w:w="0" w:type="dxa"/>
                              <w:bottom w:w="0" w:type="dxa"/>
                            </w:tblCellMar>
                          </w:tblPrEx>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2</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Design Thinking 1-2</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Empatizar + Definir</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Diamante doble con puntos laterales</w:t>
                              </w:r>
                            </w:p>
                          </w:tc>
                        </w:tr>
                        <w:tr w:rsidR="00E12B98" w:rsidTr="00E12B98">
                          <w:tblPrEx>
                            <w:tblCellMar>
                              <w:top w:w="0" w:type="dxa"/>
                              <w:bottom w:w="0" w:type="dxa"/>
                            </w:tblCellMar>
                          </w:tblPrEx>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3</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Design Thinking 3-4</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Idear + Prototipar</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3 engranajes interconectados</w:t>
                              </w:r>
                            </w:p>
                          </w:tc>
                        </w:tr>
                        <w:tr w:rsidR="00E12B98" w:rsidTr="00E12B98">
                          <w:tblPrEx>
                            <w:tblCellMar>
                              <w:top w:w="0" w:type="dxa"/>
                              <w:bottom w:w="0" w:type="dxa"/>
                            </w:tblCellMar>
                          </w:tblPrEx>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4</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Design Thinking 5</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Evaluar/Testear, ciclo continuo</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Circulo feedback + 2 flechas + gear</w:t>
                              </w:r>
                            </w:p>
                          </w:tc>
                        </w:tr>
                        <w:tr w:rsidR="00E12B98" w:rsidTr="00E12B98">
                          <w:tblPrEx>
                            <w:tblCellMar>
                              <w:top w:w="0" w:type="dxa"/>
                              <w:bottom w:w="0" w:type="dxa"/>
                            </w:tblCellMar>
                          </w:tblPrEx>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5</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Conectivismo y TIC</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Siemens (2006), constructivismo</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Red de 5 nodos con conexiones</w:t>
                              </w:r>
                            </w:p>
                          </w:tc>
                        </w:tr>
                        <w:tr w:rsidR="00E12B98" w:rsidTr="00E12B98">
                          <w:tblPrEx>
                            <w:tblCellMar>
                              <w:top w:w="0" w:type="dxa"/>
                              <w:bottom w:w="0" w:type="dxa"/>
                            </w:tblCellMar>
                          </w:tblPrEx>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6</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Aportes Innovadores</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Engranaje de innovacion K-12</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Sistema de 4 engranajes con spin</w:t>
                              </w:r>
                            </w:p>
                          </w:tc>
                        </w:tr>
                        <w:tr w:rsidR="00E12B98" w:rsidTr="00E12B98">
                          <w:tblPrEx>
                            <w:tblCellMar>
                              <w:top w:w="0" w:type="dxa"/>
                              <w:bottom w:w="0" w:type="dxa"/>
                            </w:tblCellMar>
                          </w:tblPrEx>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7</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Reflexion y Prospectiva</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Docente facilitador, divergente</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Libro con engranaje interior giratorio</w:t>
                              </w:r>
                            </w:p>
                          </w:tc>
                        </w:tr>
                      </w:tbl>
                      <w:p w:rsidR="00E12B98" w:rsidRPr="00E12B98" w:rsidRDefault="00E12B98" w:rsidP="00E12B98">
                        <w:pPr>
                          <w:rPr>
                            <w:rFonts w:ascii="Calibri" w:hAnsi="Calibri" w:cs="Calibri"/>
                            <w:b/>
                            <w:sz w:val="20"/>
                          </w:rPr>
                        </w:pPr>
                        <w:r>
                          <w:rPr>
                            <w:rFonts w:ascii="Calibri" w:hAnsi="Calibri" w:cs="Calibri"/>
                            <w:b/>
                            <w:sz w:val="20"/>
                          </w:rPr>
                          <w:t>#</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Pieza</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Descripcion</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Figura CSS</w:t>
                        </w:r>
                      </w:p>
                    </w:tc>
                  </w:tr>
                  <w:tr w:rsidR="00E12B98" w:rsidTr="00E12B98">
                    <w:tblPrEx>
                      <w:tblCellMar>
                        <w:top w:w="0" w:type="dxa"/>
                        <w:bottom w:w="0" w:type="dxa"/>
                      </w:tblCellMar>
                    </w:tblPrEx>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1</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Contexto educativo</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Sistema educativo espanol, LOMLOE, 40+ centros</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Pixel-art school con pixeles que parpadean</w:t>
                        </w:r>
                      </w:p>
                    </w:tc>
                  </w:tr>
                  <w:tr w:rsidR="00E12B98" w:rsidTr="00E12B98">
                    <w:tblPrEx>
                      <w:tblCellMar>
                        <w:top w:w="0" w:type="dxa"/>
                        <w:bottom w:w="0" w:type="dxa"/>
                      </w:tblCellMar>
                    </w:tblPrEx>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2</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Enfoque pedagogico</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Gamificacion + ABP + Flow (Csikszentmihalyi)</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Medidor de flow con aguja oscilante</w:t>
                        </w:r>
                      </w:p>
                    </w:tc>
                  </w:tr>
                  <w:tr w:rsidR="00E12B98" w:rsidTr="00E12B98">
                    <w:tblPrEx>
                      <w:tblCellMar>
                        <w:top w:w="0" w:type="dxa"/>
                        <w:bottom w:w="0" w:type="dxa"/>
                      </w:tblCellMar>
                    </w:tblPrEx>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3</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Metodologia activa</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Videojuego simulacion aldea virtual, ODS</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Aldea con 3 casas + arbol</w:t>
                        </w:r>
                      </w:p>
                    </w:tc>
                  </w:tr>
                  <w:tr w:rsidR="00E12B98" w:rsidTr="00E12B98">
                    <w:tblPrEx>
                      <w:tblCellMar>
                        <w:top w:w="0" w:type="dxa"/>
                        <w:bottom w:w="0" w:type="dxa"/>
                      </w:tblCellMar>
                    </w:tblPrEx>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4</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Uso de TIC</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Cloud + Big Data + Learning Analytics</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Nube cloud + 3 datos que flotan</w:t>
                        </w:r>
                      </w:p>
                    </w:tc>
                  </w:tr>
                  <w:tr w:rsidR="00E12B98" w:rsidTr="00E12B98">
                    <w:tblPrEx>
                      <w:tblCellMar>
                        <w:top w:w="0" w:type="dxa"/>
                        <w:bottom w:w="0" w:type="dxa"/>
                      </w:tblCellMar>
                    </w:tblPrEx>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5</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Aportes innovadores</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Evaluacion automatizada, 15h recuperadas</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Corona real con gema pulsante</w:t>
                        </w:r>
                      </w:p>
                    </w:tc>
                  </w:tr>
                  <w:tr w:rsidR="00E12B98" w:rsidTr="00E12B98">
                    <w:tblPrEx>
                      <w:tblCellMar>
                        <w:top w:w="0" w:type="dxa"/>
                        <w:bottom w:w="0" w:type="dxa"/>
                      </w:tblCellMar>
                    </w:tblPrEx>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6</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Crecimiento</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2022 a 2025, 5 a 40+ colegios, 300%</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Barra XP + 3 estrellas level-up</w:t>
                        </w:r>
                      </w:p>
                    </w:tc>
                  </w:tr>
                  <w:tr w:rsidR="00E12B98" w:rsidTr="00E12B98">
                    <w:tblPrEx>
                      <w:tblCellMar>
                        <w:top w:w="0" w:type="dxa"/>
                        <w:bottom w:w="0" w:type="dxa"/>
                      </w:tblCellMar>
                    </w:tblPrEx>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7</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Inversion</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Lanzadera (Juan Roig), 500.000 euros+</w:t>
                        </w:r>
                      </w:p>
                    </w:tc>
                    <w:tc>
                      <w:tcPr>
                        <w:tcW w:w="360"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Cofre del tesoro + 3 monedas que saltan</w:t>
                        </w:r>
                      </w:p>
                    </w:tc>
                  </w:tr>
                </w:tbl>
                <w:p w:rsidR="00E12B98" w:rsidRPr="00E12B98" w:rsidRDefault="00E12B98" w:rsidP="00E12B98">
                  <w:pPr>
                    <w:rPr>
                      <w:rFonts w:ascii="Calibri" w:hAnsi="Calibri" w:cs="Calibri"/>
                      <w:b/>
                      <w:sz w:val="20"/>
                    </w:rPr>
                  </w:pPr>
                  <w:r>
                    <w:rPr>
                      <w:rFonts w:ascii="Calibri" w:hAnsi="Calibri" w:cs="Calibri"/>
                      <w:b/>
                      <w:sz w:val="20"/>
                    </w:rPr>
                    <w:t>#</w:t>
                  </w:r>
                </w:p>
              </w:tc>
              <w:tc>
                <w:tcPr>
                  <w:tcW w:w="49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Pieza</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Descripcion</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Figura CSS</w:t>
                  </w:r>
                </w:p>
              </w:tc>
            </w:tr>
            <w:tr w:rsidR="00E12B98" w:rsidTr="00E12B98">
              <w:tblPrEx>
                <w:tblCellMar>
                  <w:top w:w="0" w:type="dxa"/>
                  <w:bottom w:w="0" w:type="dxa"/>
                </w:tblCellMar>
              </w:tblPrEx>
              <w:tc>
                <w:tcPr>
                  <w:tcW w:w="49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1</w:t>
                  </w:r>
                </w:p>
              </w:tc>
              <w:tc>
                <w:tcPr>
                  <w:tcW w:w="49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Contexto educativo</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Zonas rurales Colombia, sin internet</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Casa rural con pieza puzzle en techo</w:t>
                  </w:r>
                </w:p>
              </w:tc>
            </w:tr>
            <w:tr w:rsidR="00E12B98" w:rsidTr="00E12B98">
              <w:tblPrEx>
                <w:tblCellMar>
                  <w:top w:w="0" w:type="dxa"/>
                  <w:bottom w:w="0" w:type="dxa"/>
                </w:tblCellMar>
              </w:tblPrEx>
              <w:tc>
                <w:tcPr>
                  <w:tcW w:w="49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2</w:t>
                  </w:r>
                </w:p>
              </w:tc>
              <w:tc>
                <w:tcPr>
                  <w:tcW w:w="49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Enfoque pedagogico</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Construccionismo (Papert), gamificacion</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4 piezas puzzle formando cerebro</w:t>
                  </w:r>
                </w:p>
              </w:tc>
            </w:tr>
            <w:tr w:rsidR="00E12B98" w:rsidTr="00E12B98">
              <w:tblPrEx>
                <w:tblCellMar>
                  <w:top w:w="0" w:type="dxa"/>
                  <w:bottom w:w="0" w:type="dxa"/>
                </w:tblCellMar>
              </w:tblPrEx>
              <w:tc>
                <w:tcPr>
                  <w:tcW w:w="49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3</w:t>
                  </w:r>
                </w:p>
              </w:tc>
              <w:tc>
                <w:tcPr>
                  <w:tcW w:w="49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Metodologia activa</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Juego de mesa 5 fases, fichas</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Tablero con 5 casillas + ficha</w:t>
                  </w:r>
                </w:p>
              </w:tc>
            </w:tr>
            <w:tr w:rsidR="00E12B98" w:rsidTr="00E12B98">
              <w:tblPrEx>
                <w:tblCellMar>
                  <w:top w:w="0" w:type="dxa"/>
                  <w:bottom w:w="0" w:type="dxa"/>
                </w:tblCellMar>
              </w:tblPrEx>
              <w:tc>
                <w:tcPr>
                  <w:tcW w:w="49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4</w:t>
                  </w:r>
                </w:p>
              </w:tc>
              <w:tc>
                <w:tcPr>
                  <w:tcW w:w="49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Uso de TIC</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No requiere TIC, funciona offline</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Monitor con piezas puzzle en pantalla</w:t>
                  </w:r>
                </w:p>
              </w:tc>
            </w:tr>
            <w:tr w:rsidR="00E12B98" w:rsidTr="00E12B98">
              <w:tblPrEx>
                <w:tblCellMar>
                  <w:top w:w="0" w:type="dxa"/>
                  <w:bottom w:w="0" w:type="dxa"/>
                </w:tblCellMar>
              </w:tblPrEx>
              <w:tc>
                <w:tcPr>
                  <w:tcW w:w="49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5</w:t>
                  </w:r>
                </w:p>
              </w:tc>
              <w:tc>
                <w:tcPr>
                  <w:tcW w:w="49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Aportes innovadores</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Baja tecnologia/alto impacto</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Trofeo puzzle con glow dorado</w:t>
                  </w:r>
                </w:p>
              </w:tc>
            </w:tr>
            <w:tr w:rsidR="00E12B98" w:rsidTr="00E12B98">
              <w:tblPrEx>
                <w:tblCellMar>
                  <w:top w:w="0" w:type="dxa"/>
                  <w:bottom w:w="0" w:type="dxa"/>
                </w:tblCellMar>
              </w:tblPrEx>
              <w:tc>
                <w:tcPr>
                  <w:tcW w:w="49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6</w:t>
                  </w:r>
                </w:p>
              </w:tc>
              <w:tc>
                <w:tcPr>
                  <w:tcW w:w="49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Premios 2025</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GamiCon48V USA (Best Overall)</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Medalla con estrella giratoria + cintas</w:t>
                  </w:r>
                </w:p>
              </w:tc>
            </w:tr>
            <w:tr w:rsidR="00E12B98" w:rsidTr="00E12B98">
              <w:tblPrEx>
                <w:tblCellMar>
                  <w:top w:w="0" w:type="dxa"/>
                  <w:bottom w:w="0" w:type="dxa"/>
                </w:tblCellMar>
              </w:tblPrEx>
              <w:tc>
                <w:tcPr>
                  <w:tcW w:w="49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7</w:t>
                  </w:r>
                </w:p>
              </w:tc>
              <w:tc>
                <w:tcPr>
                  <w:tcW w:w="49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Impacto en cifras</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700 docentes, 14.000 estudiantes</w:t>
                  </w:r>
                </w:p>
              </w:tc>
              <w:tc>
                <w:tcPr>
                  <w:tcW w:w="497"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Grafico de barras + piezas flotantes</w:t>
                  </w:r>
                </w:p>
              </w:tc>
            </w:tr>
          </w:tbl>
          <w:p w:rsidR="00E12B98" w:rsidRPr="00E12B98" w:rsidRDefault="00E12B98" w:rsidP="00E12B98">
            <w:pPr>
              <w:rPr>
                <w:rFonts w:ascii="Calibri" w:hAnsi="Calibri" w:cs="Calibri"/>
                <w:b/>
                <w:sz w:val="20"/>
              </w:rPr>
            </w:pPr>
            <w:r>
              <w:rPr>
                <w:rFonts w:ascii="Calibri" w:hAnsi="Calibri" w:cs="Calibri"/>
                <w:b/>
                <w:sz w:val="20"/>
              </w:rPr>
              <w:t>#</w:t>
            </w:r>
          </w:p>
        </w:tc>
        <w:tc>
          <w:tcPr>
            <w:tcW w:w="212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Pieza</w:t>
            </w:r>
          </w:p>
        </w:tc>
        <w:tc>
          <w:tcPr>
            <w:tcW w:w="212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Descripcion</w:t>
            </w:r>
          </w:p>
        </w:tc>
        <w:tc>
          <w:tcPr>
            <w:tcW w:w="2126" w:type="dxa"/>
            <w:shd w:val="clear" w:color="auto" w:fill="auto"/>
          </w:tcPr>
          <w:p w:rsidR="00E12B98" w:rsidRPr="00E12B98" w:rsidRDefault="00E12B98" w:rsidP="00E12B98">
            <w:pPr>
              <w:rPr>
                <w:rFonts w:ascii="Calibri" w:hAnsi="Calibri" w:cs="Calibri"/>
                <w:b/>
                <w:sz w:val="20"/>
              </w:rPr>
            </w:pPr>
            <w:r>
              <w:rPr>
                <w:rFonts w:ascii="Calibri" w:hAnsi="Calibri" w:cs="Calibri"/>
                <w:b/>
                <w:sz w:val="20"/>
              </w:rPr>
              <w:t>Figura CSS</w:t>
            </w:r>
          </w:p>
        </w:tc>
      </w:tr>
      <w:tr w:rsidR="00E12B98" w:rsidTr="00E12B98">
        <w:tblPrEx>
          <w:tblCellMar>
            <w:top w:w="0" w:type="dxa"/>
            <w:bottom w:w="0" w:type="dxa"/>
          </w:tblCellMar>
        </w:tblPrEx>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1</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Contexto educativo</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Bogota, Colegio Santa Francisca Romana, 6 paises</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Edificio escolar con estrellas orbitales</w:t>
            </w:r>
          </w:p>
        </w:tc>
      </w:tr>
      <w:tr w:rsidR="00E12B98" w:rsidTr="00E12B98">
        <w:tblPrEx>
          <w:tblCellMar>
            <w:top w:w="0" w:type="dxa"/>
            <w:bottom w:w="0" w:type="dxa"/>
          </w:tblCellMar>
        </w:tblPrEx>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2</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Enfoque pedagogico</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Aprendizaje experiencial, constructivismo, Ausubel</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Constelacion de 5 nodos formando cerebro</w:t>
            </w:r>
          </w:p>
        </w:tc>
      </w:tr>
      <w:tr w:rsidR="00E12B98" w:rsidTr="00E12B98">
        <w:tblPrEx>
          <w:tblCellMar>
            <w:top w:w="0" w:type="dxa"/>
            <w:bottom w:w="0" w:type="dxa"/>
          </w:tblCellMar>
        </w:tblPrEx>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3</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Metodologia activa</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Design Thinking 5 etapas, prototipado</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Cohete multi-etapa con llama vibrante</w:t>
            </w:r>
          </w:p>
        </w:tc>
      </w:tr>
      <w:tr w:rsidR="00E12B98" w:rsidTr="00E12B98">
        <w:tblPrEx>
          <w:tblCellMar>
            <w:top w:w="0" w:type="dxa"/>
            <w:bottom w:w="0" w:type="dxa"/>
          </w:tblCellMar>
        </w:tblPrEx>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4</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Uso de TIC</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Plataformas colaborativas, baja conectividad</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Satelite con paneles solares y antena</w:t>
            </w:r>
          </w:p>
        </w:tc>
      </w:tr>
      <w:tr w:rsidR="00E12B98" w:rsidTr="00E12B98">
        <w:tblPrEx>
          <w:tblCellMar>
            <w:top w:w="0" w:type="dxa"/>
            <w:bottom w:w="0" w:type="dxa"/>
          </w:tblCellMar>
        </w:tblPrEx>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5</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Aportes innovadores</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Metodologia colombiana global, Chile</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Supernova: nucleo pulsante con 3 anillos</w:t>
            </w:r>
          </w:p>
        </w:tc>
      </w:tr>
      <w:tr w:rsidR="00E12B98" w:rsidTr="00E12B98">
        <w:tblPrEx>
          <w:tblCellMar>
            <w:top w:w="0" w:type="dxa"/>
            <w:bottom w:w="0" w:type="dxa"/>
          </w:tblCellMar>
        </w:tblPrEx>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6</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Impacto global</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100+ instituciones, 50.000+ estudiantes</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Globo terraqueo con 6 orbitadores</w:t>
            </w:r>
          </w:p>
        </w:tc>
      </w:tr>
      <w:tr w:rsidR="00E12B98" w:rsidTr="00E12B98">
        <w:tblPrEx>
          <w:tblCellMar>
            <w:top w:w="0" w:type="dxa"/>
            <w:bottom w:w="0" w:type="dxa"/>
          </w:tblCellMar>
        </w:tblPrEx>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7</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Linea de tiempo</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2021 a 2025, de piloto a 6 paises</w:t>
            </w:r>
          </w:p>
        </w:tc>
        <w:tc>
          <w:tcPr>
            <w:tcW w:w="2126" w:type="dxa"/>
            <w:shd w:val="clear" w:color="auto" w:fill="auto"/>
          </w:tcPr>
          <w:p w:rsidR="00E12B98" w:rsidRPr="00E12B98" w:rsidRDefault="00E12B98" w:rsidP="00E12B98">
            <w:pPr>
              <w:rPr>
                <w:rFonts w:ascii="Calibri" w:hAnsi="Calibri" w:cs="Calibri"/>
                <w:sz w:val="20"/>
              </w:rPr>
            </w:pPr>
            <w:r>
              <w:rPr>
                <w:rFonts w:ascii="Calibri" w:hAnsi="Calibri" w:cs="Calibri"/>
                <w:sz w:val="20"/>
              </w:rPr>
              <w:t>5 nodos conectados en linea (2021-2025)</w:t>
            </w:r>
          </w:p>
        </w:tc>
      </w:tr>
    </w:tbl>
    <w:p w:rsidR="00E12B98" w:rsidRPr="00E12B98" w:rsidRDefault="00E12B98" w:rsidP="00E12B98">
      <w:pPr>
        <w:rPr>
          <w:rFonts w:ascii="Calibri" w:hAnsi="Calibri" w:cs="Calibri"/>
        </w:rPr>
      </w:pPr>
    </w:p>
    <w:sectPr w:rsidR="00E12B98" w:rsidRPr="00E12B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B98"/>
    <w:rsid w:val="009106AE"/>
    <w:rsid w:val="00B7686F"/>
    <w:rsid w:val="00E12B9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2211BD-0B90-42F6-9777-D62118233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858</Words>
  <Characters>4722</Characters>
  <Application>Microsoft Office Word</Application>
  <DocSecurity>0</DocSecurity>
  <Lines>39</Lines>
  <Paragraphs>11</Paragraphs>
  <ScaleCrop>false</ScaleCrop>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Aguirre</dc:creator>
  <cp:keywords/>
  <dc:description/>
  <cp:lastModifiedBy>Cristian Aguirre</cp:lastModifiedBy>
  <cp:revision>1</cp:revision>
  <dcterms:created xsi:type="dcterms:W3CDTF">2026-07-12T17:31:00Z</dcterms:created>
  <dcterms:modified xsi:type="dcterms:W3CDTF">2026-07-12T17:31:00Z</dcterms:modified>
</cp:coreProperties>
</file>