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F4E79"/>
          <w:sz w:val="52"/>
          <w:szCs w:val="52"/>
        </w:rPr>
        <w:t xml:space="preserve">¿Cuál subsidio habitacional me conviene?</w:t>
      </w:r>
    </w:p>
    <w:p>
      <w:pPr>
        <w:spacing w:after="40" w:before="80"/>
        <w:jc w:val="center"/>
      </w:pPr>
      <w:r>
        <w:rPr>
          <w:rFonts w:ascii="Arial" w:cs="Arial" w:eastAsia="Arial" w:hAnsi="Arial"/>
          <w:color w:val="2E75B6"/>
          <w:sz w:val="30"/>
          <w:szCs w:val="30"/>
        </w:rPr>
        <w:t xml:space="preserve">Análisis financiero comparativo DS1 · Tramo 2 vs Tramo 3</w:t>
      </w:r>
    </w:p>
    <w:p>
      <w:pPr>
        <w:spacing w:after="480" w:before="40"/>
        <w:jc w:val="center"/>
      </w:pPr>
      <w:r>
        <w:rPr>
          <w:rFonts w:ascii="Arial" w:cs="Arial" w:eastAsia="Arial" w:hAnsi="Arial"/>
          <w:color w:val="666666"/>
          <w:sz w:val="22"/>
          <w:szCs w:val="22"/>
        </w:rPr>
        <w:t xml:space="preserve">Perfil: Ingeniero Civil Industrial · Santiago de Chile · 25 años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6E4F0" w:val="clear"/>
            <w:tcMar>
              <w:top w:type="dxa" w:w="200"/>
              <w:left w:type="dxa" w:w="240"/>
              <w:bottom w:type="dxa" w:w="200"/>
              <w:right w:type="dxa" w:w="240"/>
            </w:tcMar>
          </w:tcPr>
          <w:p>
            <w:pPr>
              <w:jc w:val="center"/>
            </w:pPr>
            <w:r>
              <w:rPr>
                <w:rFonts w:ascii="Arial" w:cs="Arial" w:eastAsia="Arial" w:hAnsi="Arial"/>
                <w:b/>
                <w:bCs/>
                <w:color w:val="1F4E79"/>
                <w:sz w:val="40"/>
                <w:szCs w:val="40"/>
              </w:rPr>
              <w:t xml:space="preserve">30 años</w:t>
            </w:r>
          </w:p>
          <w:p>
            <w:pPr>
              <w:spacing w:after="0" w:before="40"/>
              <w:jc w:val="center"/>
            </w:pPr>
            <w:r>
              <w:rPr>
                <w:rFonts w:ascii="Arial" w:cs="Arial" w:eastAsia="Arial" w:hAnsi="Arial"/>
                <w:color w:val="1F4E79"/>
                <w:sz w:val="20"/>
                <w:szCs w:val="20"/>
              </w:rPr>
              <w:t xml:space="preserve">de proyección</w:t>
            </w:r>
          </w:p>
        </w:tc>
        <w:tc>
          <w:tcPr>
            <w:tcBorders>
              <w:top w:val="none" w:color="FFFFFF" w:sz="0"/>
              <w:left w:val="none" w:color="FFFFFF" w:sz="0"/>
              <w:bottom w:val="none" w:color="FFFFFF" w:sz="0"/>
              <w:right w:val="none" w:color="FFFFFF" w:sz="0"/>
            </w:tcBorders>
            <w:shd w:fill="D6F0E4" w:val="clear"/>
            <w:tcMar>
              <w:top w:type="dxa" w:w="200"/>
              <w:left w:type="dxa" w:w="240"/>
              <w:bottom w:type="dxa" w:w="200"/>
              <w:right w:type="dxa" w:w="240"/>
            </w:tcMar>
          </w:tcPr>
          <w:p>
            <w:pPr>
              <w:jc w:val="center"/>
            </w:pPr>
            <w:r>
              <w:rPr>
                <w:rFonts w:ascii="Arial" w:cs="Arial" w:eastAsia="Arial" w:hAnsi="Arial"/>
                <w:b/>
                <w:bCs/>
                <w:color w:val="1D6E4F"/>
                <w:sz w:val="40"/>
                <w:szCs w:val="40"/>
              </w:rPr>
              <w:t xml:space="preserve">6 fuentes</w:t>
            </w:r>
          </w:p>
          <w:p>
            <w:pPr>
              <w:spacing w:after="0" w:before="40"/>
              <w:jc w:val="center"/>
            </w:pPr>
            <w:r>
              <w:rPr>
                <w:rFonts w:ascii="Arial" w:cs="Arial" w:eastAsia="Arial" w:hAnsi="Arial"/>
                <w:color w:val="1D6E4F"/>
                <w:sz w:val="20"/>
                <w:szCs w:val="20"/>
              </w:rPr>
              <w:t xml:space="preserve">de datos oficiales</w:t>
            </w:r>
          </w:p>
        </w:tc>
        <w:tc>
          <w:tcPr>
            <w:tcBorders>
              <w:top w:val="none" w:color="FFFFFF" w:sz="0"/>
              <w:left w:val="none" w:color="FFFFFF" w:sz="0"/>
              <w:bottom w:val="none" w:color="FFFFFF" w:sz="0"/>
              <w:right w:val="none" w:color="FFFFFF" w:sz="0"/>
            </w:tcBorders>
            <w:shd w:fill="FFF2CC" w:val="clear"/>
            <w:tcMar>
              <w:top w:type="dxa" w:w="200"/>
              <w:left w:type="dxa" w:w="240"/>
              <w:bottom w:type="dxa" w:w="200"/>
              <w:right w:type="dxa" w:w="240"/>
            </w:tcMar>
          </w:tcPr>
          <w:p>
            <w:pPr>
              <w:jc w:val="center"/>
            </w:pPr>
            <w:r>
              <w:rPr>
                <w:rFonts w:ascii="Arial" w:cs="Arial" w:eastAsia="Arial" w:hAnsi="Arial"/>
                <w:b/>
                <w:bCs/>
                <w:color w:val="7F5A00"/>
                <w:sz w:val="40"/>
                <w:szCs w:val="40"/>
              </w:rPr>
              <w:t xml:space="preserve">3 escenarios</w:t>
            </w:r>
          </w:p>
          <w:p>
            <w:pPr>
              <w:spacing w:after="0" w:before="40"/>
              <w:jc w:val="center"/>
            </w:pPr>
            <w:r>
              <w:rPr>
                <w:rFonts w:ascii="Arial" w:cs="Arial" w:eastAsia="Arial" w:hAnsi="Arial"/>
                <w:color w:val="7F5A00"/>
                <w:sz w:val="20"/>
                <w:szCs w:val="20"/>
              </w:rPr>
              <w:t xml:space="preserve">económicos</w:t>
            </w:r>
          </w:p>
        </w:tc>
      </w:tr>
    </w:tbl>
    <w:p>
      <w:pPr>
        <w:spacing w:after="0" w:before="480"/>
      </w:pPr>
    </w:p>
    <w:p>
      <w:pPr>
        <w:pStyle w:val="Heading1"/>
        <w:pBdr>
          <w:bottom w:val="single" w:color="2E75B6" w:sz="6" w:space="6"/>
        </w:pBdr>
        <w:spacing w:after="160" w:before="360"/>
      </w:pPr>
      <w:r>
        <w:rPr>
          <w:rFonts w:ascii="Arial" w:cs="Arial" w:eastAsia="Arial" w:hAnsi="Arial"/>
          <w:b/>
          <w:bCs/>
          <w:color w:val="1F4E79"/>
          <w:sz w:val="36"/>
          <w:szCs w:val="36"/>
        </w:rPr>
        <w:t xml:space="preserve">1. ¿De qué se trata este análisis?</w:t>
      </w:r>
    </w:p>
    <w:p>
      <w:pPr>
        <w:spacing w:after="120" w:before="80"/>
        <w:jc w:val="left"/>
      </w:pPr>
      <w:r>
        <w:rPr>
          <w:rFonts w:ascii="Arial" w:cs="Arial" w:eastAsia="Arial" w:hAnsi="Arial"/>
          <w:b w:val="false"/>
          <w:bCs w:val="false"/>
          <w:color w:val="222222"/>
          <w:sz w:val="22"/>
          <w:szCs w:val="22"/>
        </w:rPr>
        <w:t xml:space="preserve">En Chile, el Estado ofrece subsidios habitacionales para ayudar a las familias a comprar su primera vivienda. El programa DS1 tiene tres tramos según el precio de la propiedad y el nivel de ingresos. Este análisis se concentra en los Tramos 2 y 3, que están diseñados para la clase media.</w:t>
      </w:r>
    </w:p>
    <w:p>
      <w:pPr>
        <w:spacing w:after="120" w:before="80"/>
        <w:jc w:val="left"/>
      </w:pPr>
      <w:r>
        <w:rPr>
          <w:rFonts w:ascii="Arial" w:cs="Arial" w:eastAsia="Arial" w:hAnsi="Arial"/>
          <w:b w:val="false"/>
          <w:bCs w:val="false"/>
          <w:color w:val="222222"/>
          <w:sz w:val="22"/>
          <w:szCs w:val="22"/>
        </w:rPr>
        <w:t xml:space="preserve">La pregunta que buscamos responder es simple: para un Ingeniero Civil Industrial (ICI) que empieza su vida laboral en Santiago a los 25 años con un ahorro de 80 UF, ¿le conviene más comprar una propiedad del Tramo 2 o del Tramo 3?</w:t>
      </w:r>
    </w:p>
    <w:p>
      <w:pPr>
        <w:spacing w:after="120" w:before="80"/>
        <w:jc w:val="left"/>
      </w:pPr>
      <w:r>
        <w:rPr>
          <w:rFonts w:ascii="Arial" w:cs="Arial" w:eastAsia="Arial" w:hAnsi="Arial"/>
          <w:b w:val="false"/>
          <w:bCs w:val="false"/>
          <w:color w:val="222222"/>
          <w:sz w:val="22"/>
          <w:szCs w:val="22"/>
        </w:rPr>
        <w:t xml:space="preserve">Para responderla construimos un modelo financiero que proyecta mes a mes, durante 30 años, los ingresos, gastos, la hipoteca, el valor de la propiedad y el patrimonio neto del comprador — usando datos reales de organismos públicos chilenos.</w:t>
      </w: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2. ¿Qué es el Tramo 2 y el Tramo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
            </w:r>
          </w:p>
        </w:tc>
        <w:tc>
          <w:tcPr>
            <w:tcW w:type="dxa" w:w="3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TRAMO 2</w:t>
            </w:r>
          </w:p>
        </w:tc>
        <w:tc>
          <w:tcPr>
            <w:tcW w:type="dxa" w:w="3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TRAMO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máximo de la propiedad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hasta 1.600 UF (~$69 millones CLP)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hasta 2.200 UF (~$95 millones CLP)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Subsidio que entrega el Estado</w:t>
            </w:r>
          </w:p>
        </w:tc>
        <w:tc>
          <w:tcPr>
            <w:tcW w:type="dxa" w:w="3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200–650 UF (promedio 450 UF)</w:t>
            </w:r>
          </w:p>
        </w:tc>
        <w:tc>
          <w:tcPr>
            <w:tcW w:type="dxa" w:w="3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250–400 UF (promedio 325 UF)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Ahorro mínimo requerido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40 UF</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80 UF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¿Requiere hipoteca?</w:t>
            </w:r>
          </w:p>
        </w:tc>
        <w:tc>
          <w:tcPr>
            <w:tcW w:type="dxa" w:w="3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Sí, para cubrir la diferencia</w:t>
            </w:r>
          </w:p>
        </w:tc>
        <w:tc>
          <w:tcPr>
            <w:tcW w:type="dxa" w:w="3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Sí, obligatoria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 quién está dirigido?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Clase media emergente (RSH hasta 90%)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Clase media consolidada (sin límite de RSH)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b w:val="false"/>
                <w:bCs w:val="false"/>
                <w:color w:val="1F4E79"/>
                <w:sz w:val="22"/>
                <w:szCs w:val="22"/>
              </w:rPr>
              <w:t xml:space="preserve">En términos prácticos: el Tramo 2 compra una vivienda más pequeña o en una zona más periférica, pero con mayor ayuda del Estado. El Tramo 3 accede a una propiedad mejor ubicada o más grande, pero con menos subsidio y mayor deuda.</w:t>
            </w:r>
          </w:p>
        </w:tc>
      </w:tr>
    </w:tbl>
    <w:p>
      <w:pPr>
        <w:spacing w:after="0" w:before="160"/>
      </w:pPr>
    </w:p>
    <w:p>
      <w:pPr>
        <w:spacing w:after="120" w:before="80"/>
        <w:jc w:val="left"/>
      </w:pPr>
      <w:r>
        <w:rPr>
          <w:rFonts w:ascii="Arial" w:cs="Arial" w:eastAsia="Arial" w:hAnsi="Arial"/>
          <w:b w:val="false"/>
          <w:bCs w:val="false"/>
          <w:color w:val="222222"/>
          <w:sz w:val="22"/>
          <w:szCs w:val="22"/>
        </w:rPr>
        <w:t xml:space="preserve">Fuente: MINVU / ChileAtiende 2024 (ds1.csv). La UF de referencia utilizada en este análisis es $43.137 CLP (mayo 2025, Banco Central de Chile).</w:t>
      </w: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3. ¿Cómo se hizo el análisis?</w:t>
      </w:r>
    </w:p>
    <w:p>
      <w:pPr>
        <w:pStyle w:val="Heading2"/>
        <w:spacing w:after="120" w:before="280"/>
      </w:pPr>
      <w:r>
        <w:rPr>
          <w:rFonts w:ascii="Arial" w:cs="Arial" w:eastAsia="Arial" w:hAnsi="Arial"/>
          <w:b/>
          <w:bCs/>
          <w:color w:val="2E75B6"/>
          <w:sz w:val="28"/>
          <w:szCs w:val="28"/>
        </w:rPr>
        <w:t xml:space="preserve">3.1 Las fuentes de datos</w:t>
      </w:r>
    </w:p>
    <w:p>
      <w:pPr>
        <w:spacing w:after="120" w:before="80"/>
        <w:jc w:val="left"/>
      </w:pPr>
      <w:r>
        <w:rPr>
          <w:rFonts w:ascii="Arial" w:cs="Arial" w:eastAsia="Arial" w:hAnsi="Arial"/>
          <w:b w:val="false"/>
          <w:bCs w:val="false"/>
          <w:color w:val="222222"/>
          <w:sz w:val="22"/>
          <w:szCs w:val="22"/>
        </w:rPr>
        <w:t xml:space="preserve">Toda la información proviene de fuentes públicas chilenas. No se inventó ningún número: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Dato</w:t>
            </w:r>
          </w:p>
        </w:tc>
        <w:tc>
          <w:tcPr>
            <w:tcW w:type="dxa" w:w="28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Fuente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 qué se usó</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Sueldos de ingenieros (ICI)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Mi Futuro MINEDUC 2024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Ingreso inicial y curva de carrera hasta los 55 años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Tasa hipotecaria</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Banco Central de Chile / CMF</w:t>
            </w:r>
          </w:p>
        </w:tc>
        <w:tc>
          <w:tcPr>
            <w:tcW w:type="dxa" w:w="4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Calcular el dividendo mensual (cuota de la hipoteca)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Escenarios económicos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BCCh IPoM + FMI WEO 2025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Proyectar inflación, salarios y precios de viviendas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Parámetros del subsidio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MINVU / ChileAtiende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Montos, límites de precio e ingresos de cada tramo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Precios y plusvalía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Portal Inmobiliario / TocToc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Qué tan rápido sube el precio de la vivienda por zona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Gastos del hogar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SII / MINVU, INE CASEN 2022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Gastos comunes, seguros, contribuciones y familia</w:t>
            </w:r>
          </w:p>
        </w:tc>
      </w:tr>
    </w:tbl>
    <w:p>
      <w:pPr>
        <w:spacing w:after="0" w:before="160"/>
      </w:pPr>
    </w:p>
    <w:p>
      <w:pPr>
        <w:pStyle w:val="Heading2"/>
        <w:spacing w:after="120" w:before="280"/>
      </w:pPr>
      <w:r>
        <w:rPr>
          <w:rFonts w:ascii="Arial" w:cs="Arial" w:eastAsia="Arial" w:hAnsi="Arial"/>
          <w:b/>
          <w:bCs/>
          <w:color w:val="2E75B6"/>
          <w:sz w:val="28"/>
          <w:szCs w:val="28"/>
        </w:rPr>
        <w:t xml:space="preserve">3.2 El perfil analizado</w:t>
      </w:r>
    </w:p>
    <w:p>
      <w:pPr>
        <w:spacing w:after="120" w:before="80"/>
        <w:jc w:val="left"/>
      </w:pPr>
      <w:r>
        <w:rPr>
          <w:rFonts w:ascii="Arial" w:cs="Arial" w:eastAsia="Arial" w:hAnsi="Arial"/>
          <w:b w:val="false"/>
          <w:bCs w:val="false"/>
          <w:color w:val="222222"/>
          <w:sz w:val="22"/>
          <w:szCs w:val="22"/>
        </w:rPr>
        <w:t xml:space="preserve">El análisis está calibrado para una persona específica:</w:t>
      </w:r>
    </w:p>
    <w:p>
      <w:pPr>
        <w:pStyle w:val="ListParagraph"/>
        <w:numPr>
          <w:ilvl w:val="0"/>
          <w:numId w:val="2"/>
        </w:numPr>
        <w:spacing w:after="60" w:before="40"/>
      </w:pPr>
      <w:r>
        <w:rPr>
          <w:rFonts w:ascii="Arial" w:cs="Arial" w:eastAsia="Arial" w:hAnsi="Arial"/>
          <w:color w:val="222222"/>
          <w:sz w:val="22"/>
          <w:szCs w:val="22"/>
        </w:rPr>
        <w:t xml:space="preserve">Profesión: Ingeniero Civil Industrial egresado de una universidad chilena</w:t>
      </w:r>
    </w:p>
    <w:p>
      <w:pPr>
        <w:pStyle w:val="ListParagraph"/>
        <w:numPr>
          <w:ilvl w:val="0"/>
          <w:numId w:val="2"/>
        </w:numPr>
        <w:spacing w:after="60" w:before="40"/>
      </w:pPr>
      <w:r>
        <w:rPr>
          <w:rFonts w:ascii="Arial" w:cs="Arial" w:eastAsia="Arial" w:hAnsi="Arial"/>
          <w:color w:val="222222"/>
          <w:sz w:val="22"/>
          <w:szCs w:val="22"/>
        </w:rPr>
        <w:t xml:space="preserve">Edad al comprar: 25 años. Horizonte del análisis: hasta los 55 (30 años)</w:t>
      </w:r>
    </w:p>
    <w:p>
      <w:pPr>
        <w:pStyle w:val="ListParagraph"/>
        <w:numPr>
          <w:ilvl w:val="0"/>
          <w:numId w:val="2"/>
        </w:numPr>
        <w:spacing w:after="60" w:before="40"/>
      </w:pPr>
      <w:r>
        <w:rPr>
          <w:rFonts w:ascii="Arial" w:cs="Arial" w:eastAsia="Arial" w:hAnsi="Arial"/>
          <w:color w:val="222222"/>
          <w:sz w:val="22"/>
          <w:szCs w:val="22"/>
        </w:rPr>
        <w:t xml:space="preserve">Sueldo bruto inicial: $1.660.000 CLP/mes (dato Mi Futuro MINEDUC 2024), equivalente a 39 UF</w:t>
      </w:r>
    </w:p>
    <w:p>
      <w:pPr>
        <w:pStyle w:val="ListParagraph"/>
        <w:numPr>
          <w:ilvl w:val="0"/>
          <w:numId w:val="2"/>
        </w:numPr>
        <w:spacing w:after="60" w:before="40"/>
      </w:pPr>
      <w:r>
        <w:rPr>
          <w:rFonts w:ascii="Arial" w:cs="Arial" w:eastAsia="Arial" w:hAnsi="Arial"/>
          <w:color w:val="222222"/>
          <w:sz w:val="22"/>
          <w:szCs w:val="22"/>
        </w:rPr>
        <w:t xml:space="preserve">Ahorro acumulado al momento de comprar: 80 UF (~$3,5 millones CLP)</w:t>
      </w:r>
    </w:p>
    <w:p>
      <w:pPr>
        <w:pStyle w:val="ListParagraph"/>
        <w:numPr>
          <w:ilvl w:val="0"/>
          <w:numId w:val="2"/>
        </w:numPr>
        <w:spacing w:after="60" w:before="40"/>
      </w:pPr>
      <w:r>
        <w:rPr>
          <w:rFonts w:ascii="Arial" w:cs="Arial" w:eastAsia="Arial" w:hAnsi="Arial"/>
          <w:color w:val="222222"/>
          <w:sz w:val="22"/>
          <w:szCs w:val="22"/>
        </w:rPr>
        <w:t xml:space="preserve">Zona de compra: La Florida (una de las comunas más accesibles con metro en Santiago)</w:t>
      </w:r>
    </w:p>
    <w:p>
      <w:pPr>
        <w:spacing w:after="0" w:before="120"/>
      </w:pPr>
    </w:p>
    <w:p>
      <w:pPr>
        <w:pStyle w:val="Heading2"/>
        <w:spacing w:after="120" w:before="280"/>
      </w:pPr>
      <w:r>
        <w:rPr>
          <w:rFonts w:ascii="Arial" w:cs="Arial" w:eastAsia="Arial" w:hAnsi="Arial"/>
          <w:b/>
          <w:bCs/>
          <w:color w:val="2E75B6"/>
          <w:sz w:val="28"/>
          <w:szCs w:val="28"/>
        </w:rPr>
        <w:t xml:space="preserve">3.3 Los tres escenarios económicos</w:t>
      </w:r>
    </w:p>
    <w:p>
      <w:pPr>
        <w:spacing w:after="120" w:before="80"/>
        <w:jc w:val="left"/>
      </w:pPr>
      <w:r>
        <w:rPr>
          <w:rFonts w:ascii="Arial" w:cs="Arial" w:eastAsia="Arial" w:hAnsi="Arial"/>
          <w:b w:val="false"/>
          <w:bCs w:val="false"/>
          <w:color w:val="222222"/>
          <w:sz w:val="22"/>
          <w:szCs w:val="22"/>
        </w:rPr>
        <w:t xml:space="preserve">Se corrió la simulación en tres versiones del futuro económico de Chile: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Escenario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Tasa hipotecaria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Ingreso año 0</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Pesimista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4,83% 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$916.000 CLP/mes (21 UF)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Inflación alta, tasas elevadas, empleos menos dinámicos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3,67% anual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$1.689.000 CLP/mes (39 UF)</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Condiciones normales según proyecciones del BCCh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Optimista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3,07% 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$2.533.000 CLP/mes (59 UF)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Boom económico, salarios en alza, tasas bajas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0" w:before="0"/>
            </w:pPr>
            <w:r>
              <w:rPr>
                <w:rFonts w:ascii="Arial" w:cs="Arial" w:eastAsia="Arial" w:hAnsi="Arial"/>
                <w:b w:val="false"/>
                <w:bCs w:val="false"/>
                <w:color w:val="555555"/>
                <w:sz w:val="22"/>
                <w:szCs w:val="22"/>
              </w:rPr>
              <w:t xml:space="preserve">El escenario pesimista asume que el ICI recién egresado entra al cuartil bajo de la distribución salarial de su carrera. El escenario base usa la mediana reportada por MINEDUC. El optimista, el cuartil superior con carrera acelerada.</w:t>
            </w:r>
          </w:p>
        </w:tc>
      </w:tr>
    </w:tbl>
    <w:p>
      <w:pPr>
        <w:spacing w:after="0" w:before="160"/>
      </w:pPr>
    </w:p>
    <w:p>
      <w:pPr>
        <w:pStyle w:val="Heading2"/>
        <w:spacing w:after="120" w:before="280"/>
      </w:pPr>
      <w:r>
        <w:rPr>
          <w:rFonts w:ascii="Arial" w:cs="Arial" w:eastAsia="Arial" w:hAnsi="Arial"/>
          <w:b/>
          <w:bCs/>
          <w:color w:val="2E75B6"/>
          <w:sz w:val="28"/>
          <w:szCs w:val="28"/>
        </w:rPr>
        <w:t xml:space="preserve">3.4 Qué calcula el modelo</w:t>
      </w:r>
    </w:p>
    <w:p>
      <w:pPr>
        <w:spacing w:after="120" w:before="80"/>
        <w:jc w:val="left"/>
      </w:pPr>
      <w:r>
        <w:rPr>
          <w:rFonts w:ascii="Arial" w:cs="Arial" w:eastAsia="Arial" w:hAnsi="Arial"/>
          <w:b w:val="false"/>
          <w:bCs w:val="false"/>
          <w:color w:val="222222"/>
          <w:sz w:val="22"/>
          <w:szCs w:val="22"/>
        </w:rPr>
        <w:t xml:space="preserve">Mes a mes, durante 360 meses, el modelo computa:</w:t>
      </w:r>
    </w:p>
    <w:p>
      <w:pPr>
        <w:pStyle w:val="ListParagraph"/>
        <w:numPr>
          <w:ilvl w:val="0"/>
          <w:numId w:val="2"/>
        </w:numPr>
        <w:spacing w:after="60" w:before="40"/>
      </w:pPr>
      <w:r>
        <w:rPr>
          <w:rFonts w:ascii="Arial" w:cs="Arial" w:eastAsia="Arial" w:hAnsi="Arial"/>
          <w:color w:val="222222"/>
          <w:sz w:val="22"/>
          <w:szCs w:val="22"/>
        </w:rPr>
        <w:t xml:space="preserve">Ingreso bruto y líquido (después de impuestos, calculados según tramo tributario real)</w:t>
      </w:r>
    </w:p>
    <w:p>
      <w:pPr>
        <w:pStyle w:val="ListParagraph"/>
        <w:numPr>
          <w:ilvl w:val="0"/>
          <w:numId w:val="2"/>
        </w:numPr>
        <w:spacing w:after="60" w:before="40"/>
      </w:pPr>
      <w:r>
        <w:rPr>
          <w:rFonts w:ascii="Arial" w:cs="Arial" w:eastAsia="Arial" w:hAnsi="Arial"/>
          <w:color w:val="222222"/>
          <w:sz w:val="22"/>
          <w:szCs w:val="22"/>
        </w:rPr>
        <w:t xml:space="preserve">Dividendo hipotecario (cuota fija calculada con amortización francesa)</w:t>
      </w:r>
    </w:p>
    <w:p>
      <w:pPr>
        <w:pStyle w:val="ListParagraph"/>
        <w:numPr>
          <w:ilvl w:val="0"/>
          <w:numId w:val="2"/>
        </w:numPr>
        <w:spacing w:after="60" w:before="40"/>
      </w:pPr>
      <w:r>
        <w:rPr>
          <w:rFonts w:ascii="Arial" w:cs="Arial" w:eastAsia="Arial" w:hAnsi="Arial"/>
          <w:color w:val="222222"/>
          <w:sz w:val="22"/>
          <w:szCs w:val="22"/>
        </w:rPr>
        <w:t xml:space="preserve">Gastos del hogar: gastos comunes, seguro, contribuciones, mantención y gastos de vida</w:t>
      </w:r>
    </w:p>
    <w:p>
      <w:pPr>
        <w:pStyle w:val="ListParagraph"/>
        <w:numPr>
          <w:ilvl w:val="0"/>
          <w:numId w:val="2"/>
        </w:numPr>
        <w:spacing w:after="60" w:before="40"/>
      </w:pPr>
      <w:r>
        <w:rPr>
          <w:rFonts w:ascii="Arial" w:cs="Arial" w:eastAsia="Arial" w:hAnsi="Arial"/>
          <w:color w:val="222222"/>
          <w:sz w:val="22"/>
          <w:szCs w:val="22"/>
        </w:rPr>
        <w:t xml:space="preserve">Flujo libre de caja: lo que queda después de pagar todo</w:t>
      </w:r>
    </w:p>
    <w:p>
      <w:pPr>
        <w:pStyle w:val="ListParagraph"/>
        <w:numPr>
          <w:ilvl w:val="0"/>
          <w:numId w:val="2"/>
        </w:numPr>
        <w:spacing w:after="60" w:before="40"/>
      </w:pPr>
      <w:r>
        <w:rPr>
          <w:rFonts w:ascii="Arial" w:cs="Arial" w:eastAsia="Arial" w:hAnsi="Arial"/>
          <w:color w:val="222222"/>
          <w:sz w:val="22"/>
          <w:szCs w:val="22"/>
        </w:rPr>
        <w:t xml:space="preserve">Valor de la propiedad: crece según la plusvalía histórica de la zona y el escenario macro</w:t>
      </w:r>
    </w:p>
    <w:p>
      <w:pPr>
        <w:pStyle w:val="ListParagraph"/>
        <w:numPr>
          <w:ilvl w:val="0"/>
          <w:numId w:val="2"/>
        </w:numPr>
        <w:spacing w:after="60" w:before="40"/>
      </w:pPr>
      <w:r>
        <w:rPr>
          <w:rFonts w:ascii="Arial" w:cs="Arial" w:eastAsia="Arial" w:hAnsi="Arial"/>
          <w:color w:val="222222"/>
          <w:sz w:val="22"/>
          <w:szCs w:val="22"/>
        </w:rPr>
        <w:t xml:space="preserve">Patrimonio neto: valor de la propiedad + ahorros acumulados − saldo de la deuda</w:t>
      </w: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4. ¿Qué resultados arrojó el modelo?</w:t>
      </w:r>
    </w:p>
    <w:p>
      <w:pPr>
        <w:pStyle w:val="Heading2"/>
        <w:spacing w:after="120" w:before="280"/>
      </w:pPr>
      <w:r>
        <w:rPr>
          <w:rFonts w:ascii="Arial" w:cs="Arial" w:eastAsia="Arial" w:hAnsi="Arial"/>
          <w:b/>
          <w:bCs/>
          <w:color w:val="2E75B6"/>
          <w:sz w:val="28"/>
          <w:szCs w:val="28"/>
        </w:rPr>
        <w:t xml:space="preserve">4.1 Estructura financiera de cada compra</w:t>
      </w:r>
    </w:p>
    <w:p>
      <w:pPr>
        <w:spacing w:after="120" w:before="80"/>
        <w:jc w:val="left"/>
      </w:pPr>
      <w:r>
        <w:rPr>
          <w:rFonts w:ascii="Arial" w:cs="Arial" w:eastAsia="Arial" w:hAnsi="Arial"/>
          <w:b w:val="false"/>
          <w:bCs w:val="false"/>
          <w:color w:val="222222"/>
          <w:sz w:val="22"/>
          <w:szCs w:val="22"/>
        </w:rPr>
        <w:t xml:space="preserve">Así queda la operación al momento de comprar (usando el 85% del precio máximo de cada tramo, que es el punto más realista):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Concepto</w:t>
            </w:r>
          </w:p>
        </w:tc>
        <w:tc>
          <w:tcPr>
            <w:tcW w:type="dxa" w:w="28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TRAMO 2</w:t>
            </w:r>
          </w:p>
        </w:tc>
        <w:tc>
          <w:tcPr>
            <w:tcW w:type="dxa" w:w="28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TRAMO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de la propiedad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1.360 UF (~$58,7 M CLP)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1.870 UF (~$80,7 M CLP)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Subsidio del Estado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450 UF (~$19,4 M CLP)</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325 UF (~$14,0 M CLP)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Ahorro del comprador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80 UF (~$3,5 M CLP)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80 UF (~$3,5 M CLP)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Hipoteca resultante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830 UF (~$35,8 M CLP)</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1.465 UF (~$63,2 M CLP)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Dividendo mensual (esc. base)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4,86 UF (~$209.500 CLP)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8,58 UF (~$370.000 CLP)</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after="0" w:before="0"/>
            </w:pPr>
            <w:r>
              <w:rPr>
                <w:rFonts w:ascii="Arial" w:cs="Arial" w:eastAsia="Arial" w:hAnsi="Arial"/>
                <w:b w:val="false"/>
                <w:bCs w:val="false"/>
                <w:color w:val="C00000"/>
                <w:sz w:val="22"/>
                <w:szCs w:val="22"/>
              </w:rPr>
              <w:t xml:space="preserve">El Tramo 3 tiene una hipoteca 76% más grande que el Tramo 2 aunque la propiedad solo cuesta 37% más. Esto ocurre porque el subsidio del Tramo 3 es menor y la diferencia de precio la absorbe casi íntegramente la deuda.</w:t>
            </w:r>
          </w:p>
        </w:tc>
      </w:tr>
    </w:tbl>
    <w:p>
      <w:pPr>
        <w:spacing w:after="0" w:before="160"/>
      </w:pPr>
    </w:p>
    <w:p>
      <w:pPr>
        <w:pStyle w:val="Heading2"/>
        <w:spacing w:after="120" w:before="280"/>
      </w:pPr>
      <w:r>
        <w:rPr>
          <w:rFonts w:ascii="Arial" w:cs="Arial" w:eastAsia="Arial" w:hAnsi="Arial"/>
          <w:b/>
          <w:bCs/>
          <w:color w:val="2E75B6"/>
          <w:sz w:val="28"/>
          <w:szCs w:val="28"/>
        </w:rPr>
        <w:t xml:space="preserve">4.2 Patrimonio neto a lo largo del tiempo (escenario base)</w:t>
      </w:r>
    </w:p>
    <w:p>
      <w:pPr>
        <w:spacing w:after="120" w:before="80"/>
        <w:jc w:val="left"/>
      </w:pPr>
      <w:r>
        <w:rPr>
          <w:rFonts w:ascii="Arial" w:cs="Arial" w:eastAsia="Arial" w:hAnsi="Arial"/>
          <w:b w:val="false"/>
          <w:bCs w:val="false"/>
          <w:color w:val="222222"/>
          <w:sz w:val="22"/>
          <w:szCs w:val="22"/>
        </w:rPr>
        <w:t xml:space="preserve">El patrimonio neto es lo que le quedaría a la persona si vendiera la propiedad, pagara toda la deuda y sumara sus ahorros acumulados: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Edad del comprador</w:t>
            </w:r>
          </w:p>
        </w:tc>
        <w:tc>
          <w:tcPr>
            <w:tcW w:type="dxa" w:w="2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Patrimonio TRAMO 2</w:t>
            </w:r>
          </w:p>
        </w:tc>
        <w:tc>
          <w:tcPr>
            <w:tcW w:type="dxa" w:w="2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Patrimonio TRAMO 3</w:t>
            </w:r>
          </w:p>
        </w:tc>
        <w:tc>
          <w:tcPr>
            <w:tcW w:type="dxa" w:w="2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Diferencia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30 años (5 años después)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3.021 UF (~$130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2.802 UF (~$121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T2 gana +220 UF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35 años (10 años después)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6.663 UF (~$287 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6.371 UF (~$275 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T2 gana +292 UF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40 años (15 años después)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12.095 UF (~$522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11.757 UF (~$507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T2 gana +338 UF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45 años (20 años después)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19.036 UF (~$821 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18.683 UF (~$806 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T2 gana +353 UF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50 años (25 años después)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27.571 UF (~$1.190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27.219 UF (~$1.174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T2 gana +352 UF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55 años (al final)</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37.946 UF (~$1.637 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37.590 UF (~$1.622 M)</w:t>
            </w:r>
          </w:p>
        </w:tc>
        <w:tc>
          <w:tcPr>
            <w:tcW w:type="dxa" w:w="2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T2 gana +356 UF</w:t>
            </w:r>
          </w:p>
        </w:tc>
      </w:tr>
    </w:tbl>
    <w:p>
      <w:pPr>
        <w:spacing w:after="0" w:before="160"/>
      </w:pPr>
    </w:p>
    <w:p>
      <w:pPr>
        <w:pStyle w:val="Heading2"/>
        <w:spacing w:after="120" w:before="280"/>
      </w:pPr>
      <w:r>
        <w:rPr>
          <w:rFonts w:ascii="Arial" w:cs="Arial" w:eastAsia="Arial" w:hAnsi="Arial"/>
          <w:b/>
          <w:bCs/>
          <w:color w:val="2E75B6"/>
          <w:sz w:val="28"/>
          <w:szCs w:val="28"/>
        </w:rPr>
        <w:t xml:space="preserve">4.3 Resultados en los tres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80"/>
        <w:gridCol w:w="1680"/>
        <w:gridCol w:w="18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Escenario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Patrimonio T2 a 30a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Patrimonio T3 a 30a</w:t>
            </w:r>
          </w:p>
        </w:tc>
        <w:tc>
          <w:tcPr>
            <w:tcW w:type="dxa" w:w="1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Carga inicial T2</w:t>
            </w:r>
          </w:p>
        </w:tc>
        <w:tc>
          <w:tcPr>
            <w:tcW w:type="dxa" w:w="1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Carga inicial T3</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Ganador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Pesimista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24.501 UF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23.791 UF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28% del ingreso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49% del ingreso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TRAMO 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37.946 UF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37.590 UF</w:t>
            </w:r>
          </w:p>
        </w:tc>
        <w:tc>
          <w:tcPr>
            <w:tcW w:type="dxa" w:w="1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15% del ingreso</w:t>
            </w:r>
          </w:p>
        </w:tc>
        <w:tc>
          <w:tcPr>
            <w:tcW w:type="dxa" w:w="1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26% del ingreso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TRAMO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Optimista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63.605 UF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63.488 UF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9% del ingreso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16% del ingreso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TRAMO 2</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F0E4" w:val="clear"/>
            <w:tcMar>
              <w:top w:type="dxa" w:w="160"/>
              <w:left w:type="dxa" w:w="240"/>
              <w:bottom w:type="dxa" w:w="160"/>
              <w:right w:type="dxa" w:w="240"/>
            </w:tcMar>
          </w:tcPr>
          <w:p>
            <w:pPr>
              <w:spacing w:after="0" w:before="0"/>
            </w:pPr>
            <w:r>
              <w:rPr>
                <w:rFonts w:ascii="Arial" w:cs="Arial" w:eastAsia="Arial" w:hAnsi="Arial"/>
                <w:b w:val="false"/>
                <w:bCs w:val="false"/>
                <w:color w:val="1D6E4F"/>
                <w:sz w:val="22"/>
                <w:szCs w:val="22"/>
              </w:rPr>
              <w:t xml:space="preserve">El Tramo 2 gana en los tres escenarios. En el optimista la diferencia es pequeña (116 UF). En el pesimista se amplía a 710 UF y además el Tramo 3 exigiría destinar casi la mitad del sueldo solo al dividendo.</w:t>
            </w:r>
          </w:p>
        </w:tc>
      </w:tr>
    </w:tbl>
    <w:p>
      <w:pPr>
        <w:spacing w:after="0" w:before="160"/>
      </w:pP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5. El riesgo financiero: más allá del patrimonio</w:t>
      </w:r>
    </w:p>
    <w:p>
      <w:pPr>
        <w:spacing w:after="120" w:before="80"/>
        <w:jc w:val="left"/>
      </w:pPr>
      <w:r>
        <w:rPr>
          <w:rFonts w:ascii="Arial" w:cs="Arial" w:eastAsia="Arial" w:hAnsi="Arial"/>
          <w:b w:val="false"/>
          <w:bCs w:val="false"/>
          <w:color w:val="222222"/>
          <w:sz w:val="22"/>
          <w:szCs w:val="22"/>
        </w:rPr>
        <w:t xml:space="preserve">El patrimonio final no es el único indicador relevante. Igual de importante es saber qué tan cómodo o apretado estará el comprador durante los primeros años, que son los más difíciles.</w:t>
      </w:r>
    </w:p>
    <w:p>
      <w:pPr>
        <w:pStyle w:val="Heading2"/>
        <w:spacing w:after="120" w:before="280"/>
      </w:pPr>
      <w:r>
        <w:rPr>
          <w:rFonts w:ascii="Arial" w:cs="Arial" w:eastAsia="Arial" w:hAnsi="Arial"/>
          <w:b/>
          <w:bCs/>
          <w:color w:val="2E75B6"/>
          <w:sz w:val="28"/>
          <w:szCs w:val="28"/>
        </w:rPr>
        <w:t xml:space="preserve">5.1 La carga hipotecaria inicial</w:t>
      </w:r>
    </w:p>
    <w:p>
      <w:pPr>
        <w:spacing w:after="120" w:before="80"/>
        <w:jc w:val="left"/>
      </w:pPr>
      <w:r>
        <w:rPr>
          <w:rFonts w:ascii="Arial" w:cs="Arial" w:eastAsia="Arial" w:hAnsi="Arial"/>
          <w:b w:val="false"/>
          <w:bCs w:val="false"/>
          <w:color w:val="222222"/>
          <w:sz w:val="22"/>
          <w:szCs w:val="22"/>
        </w:rPr>
        <w:t xml:space="preserve">La regla financiera general dice que el dividendo no debería superar el 30% del ingreso líquido mensual. Así queda cada tramo al comienzo: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Escenario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Ratio dividendo/ingreso T2</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Ratio dividendo/ingreso T3</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T3 supera el 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Pesimista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28%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49%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Sí — riesgo alto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Base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15%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26%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No — aceptable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Optimista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9%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16%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No — holgado</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after="0" w:before="0"/>
            </w:pPr>
            <w:r>
              <w:rPr>
                <w:rFonts w:ascii="Arial" w:cs="Arial" w:eastAsia="Arial" w:hAnsi="Arial"/>
                <w:b w:val="false"/>
                <w:bCs w:val="false"/>
                <w:color w:val="C00000"/>
                <w:sz w:val="22"/>
                <w:szCs w:val="22"/>
              </w:rPr>
              <w:t xml:space="preserve">En el escenario pesimista, quien compra Tramo 3 destina el 49% de su sueldo líquido solo al dividendo. Eso deja apenas 5 UF/mes (~$215.000 CLP) de margen para cualquier imprevisto — una enfermedad, una reparación, un mes de menos trabajo.</w:t>
            </w:r>
          </w:p>
        </w:tc>
      </w:tr>
    </w:tbl>
    <w:p>
      <w:pPr>
        <w:spacing w:after="0" w:before="160"/>
      </w:pPr>
    </w:p>
    <w:p>
      <w:pPr>
        <w:pStyle w:val="Heading2"/>
        <w:spacing w:after="120" w:before="280"/>
      </w:pPr>
      <w:r>
        <w:rPr>
          <w:rFonts w:ascii="Arial" w:cs="Arial" w:eastAsia="Arial" w:hAnsi="Arial"/>
          <w:b/>
          <w:bCs/>
          <w:color w:val="2E75B6"/>
          <w:sz w:val="28"/>
          <w:szCs w:val="28"/>
        </w:rPr>
        <w:t xml:space="preserve">5.2 Flujo libre de caja</w:t>
      </w:r>
    </w:p>
    <w:p>
      <w:pPr>
        <w:spacing w:after="120" w:before="80"/>
        <w:jc w:val="left"/>
      </w:pPr>
      <w:r>
        <w:rPr>
          <w:rFonts w:ascii="Arial" w:cs="Arial" w:eastAsia="Arial" w:hAnsi="Arial"/>
          <w:b w:val="false"/>
          <w:bCs w:val="false"/>
          <w:color w:val="222222"/>
          <w:sz w:val="22"/>
          <w:szCs w:val="22"/>
        </w:rPr>
        <w:t xml:space="preserve">El flujo libre es lo que sobra cada mes después de pagar la hipoteca, los gastos de la propiedad y los gastos de vida. Así evolucionan en el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Período</w:t>
            </w:r>
          </w:p>
        </w:tc>
        <w:tc>
          <w:tcPr>
            <w:tcW w:type="dxa" w:w="31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Flujo libre mensual T2</w:t>
            </w:r>
          </w:p>
        </w:tc>
        <w:tc>
          <w:tcPr>
            <w:tcW w:type="dxa" w:w="31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Flujo libre mensual T3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Primeros 5 años (con hipoteca)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~33–48 UF/mes (~$1,4–2,1 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~28–43 UF/mes (~$1,2–1,9 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Años 10–20 (con hipoteca)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~71–97 UF/mes (~$3,1–4,2 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~66–93 UF/mes (~$2,8–4,0 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Años 21–30 (sin hipoteca)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~129–183 UF/mes (~$5,6–7,9 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~127–182 UF/mes (~$5,5–7,8 M)</w:t>
            </w:r>
          </w:p>
        </w:tc>
      </w:tr>
    </w:tbl>
    <w:p>
      <w:pPr>
        <w:spacing w:after="0" w:before="120"/>
      </w:pPr>
    </w:p>
    <w:p>
      <w:pPr>
        <w:spacing w:after="120" w:before="80"/>
        <w:jc w:val="left"/>
      </w:pPr>
      <w:r>
        <w:rPr>
          <w:rFonts w:ascii="Arial" w:cs="Arial" w:eastAsia="Arial" w:hAnsi="Arial"/>
          <w:b w:val="false"/>
          <w:bCs w:val="false"/>
          <w:color w:val="222222"/>
          <w:sz w:val="22"/>
          <w:szCs w:val="22"/>
        </w:rPr>
        <w:t xml:space="preserve">Una vez terminada la hipoteca (año 20), los flujos libres se igualan completamente porque el dividendo desaparece en ambos casos. La diferencia ocurre solo durante los primeros 20 años.</w:t>
      </w: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6. ¿Por qué gana el Tramo 2?</w:t>
      </w:r>
    </w:p>
    <w:p>
      <w:pPr>
        <w:spacing w:after="120" w:before="80"/>
        <w:jc w:val="left"/>
      </w:pPr>
      <w:r>
        <w:rPr>
          <w:rFonts w:ascii="Arial" w:cs="Arial" w:eastAsia="Arial" w:hAnsi="Arial"/>
          <w:b w:val="false"/>
          <w:bCs w:val="false"/>
          <w:color w:val="222222"/>
          <w:sz w:val="22"/>
          <w:szCs w:val="22"/>
        </w:rPr>
        <w:t xml:space="preserve">Puede parecer contraintuitivo que una propiedad más barata termine generando más patrimonio. La explicación está en tres mecanismos:</w:t>
      </w:r>
    </w:p>
    <w:p>
      <w:pPr>
        <w:pStyle w:val="Heading2"/>
        <w:spacing w:after="120" w:before="280"/>
      </w:pPr>
      <w:r>
        <w:rPr>
          <w:rFonts w:ascii="Arial" w:cs="Arial" w:eastAsia="Arial" w:hAnsi="Arial"/>
          <w:b/>
          <w:bCs/>
          <w:color w:val="2E75B6"/>
          <w:sz w:val="28"/>
          <w:szCs w:val="28"/>
        </w:rPr>
        <w:t xml:space="preserve">Mecanismo 1: El subsidio importa más que el precio</w:t>
      </w:r>
    </w:p>
    <w:p>
      <w:pPr>
        <w:spacing w:after="120" w:before="80"/>
        <w:jc w:val="left"/>
      </w:pPr>
      <w:r>
        <w:rPr>
          <w:rFonts w:ascii="Arial" w:cs="Arial" w:eastAsia="Arial" w:hAnsi="Arial"/>
          <w:b w:val="false"/>
          <w:bCs w:val="false"/>
          <w:color w:val="222222"/>
          <w:sz w:val="22"/>
          <w:szCs w:val="22"/>
        </w:rPr>
        <w:t xml:space="preserve">El Tramo 2 tiene un subsidio promedio de 450 UF versus 325 UF del Tramo 3. Esa diferencia de 125 UF en ayuda estatal pesa mucho más de lo que aparenta porque se multiplica a lo largo del tiempo. Al comprarse en una propiedad 37% más cara pero con 28% menos subsidio, el Tramo 3 acumula una hipoteca 76% mayor.</w:t>
      </w:r>
    </w:p>
    <w:p>
      <w:pPr>
        <w:pStyle w:val="Heading2"/>
        <w:spacing w:after="120" w:before="280"/>
      </w:pPr>
      <w:r>
        <w:rPr>
          <w:rFonts w:ascii="Arial" w:cs="Arial" w:eastAsia="Arial" w:hAnsi="Arial"/>
          <w:b/>
          <w:bCs/>
          <w:color w:val="2E75B6"/>
          <w:sz w:val="28"/>
          <w:szCs w:val="28"/>
        </w:rPr>
        <w:t xml:space="preserve">Mecanismo 2: El costo financiero se come la plusvalía</w:t>
      </w:r>
    </w:p>
    <w:p>
      <w:pPr>
        <w:spacing w:after="120" w:before="80"/>
        <w:jc w:val="left"/>
      </w:pPr>
      <w:r>
        <w:rPr>
          <w:rFonts w:ascii="Arial" w:cs="Arial" w:eastAsia="Arial" w:hAnsi="Arial"/>
          <w:b w:val="false"/>
          <w:bCs w:val="false"/>
          <w:color w:val="222222"/>
          <w:sz w:val="22"/>
          <w:szCs w:val="22"/>
        </w:rPr>
        <w:t xml:space="preserve">La propiedad del Tramo 3 vale más y se aprecia más en términos absolutos. Pero también genera intereses por 803 UF en el escenario base, versus 336 UF del Tramo 2. Esa diferencia de 467 UF en intereses pagados durante 20 años es dinero que no queda disponible para generar riqueza.</w:t>
      </w:r>
    </w:p>
    <w:p>
      <w:pPr>
        <w:pStyle w:val="Heading2"/>
        <w:spacing w:after="120" w:before="280"/>
      </w:pPr>
      <w:r>
        <w:rPr>
          <w:rFonts w:ascii="Arial" w:cs="Arial" w:eastAsia="Arial" w:hAnsi="Arial"/>
          <w:b/>
          <w:bCs/>
          <w:color w:val="2E75B6"/>
          <w:sz w:val="28"/>
          <w:szCs w:val="28"/>
        </w:rPr>
        <w:t xml:space="preserve">Mecanismo 3: El ahorro acumulado compensa la menor plusvalía</w:t>
      </w:r>
    </w:p>
    <w:p>
      <w:pPr>
        <w:spacing w:after="120" w:before="80"/>
        <w:jc w:val="left"/>
      </w:pPr>
      <w:r>
        <w:rPr>
          <w:rFonts w:ascii="Arial" w:cs="Arial" w:eastAsia="Arial" w:hAnsi="Arial"/>
          <w:b w:val="false"/>
          <w:bCs w:val="false"/>
          <w:color w:val="222222"/>
          <w:sz w:val="22"/>
          <w:szCs w:val="22"/>
        </w:rPr>
        <w:t xml:space="preserve">El Tramo 2 tiene un dividendo 44% más bajo. Ese ahorro mensual (en el escenario base, unos 3,7 UF/mes durante 20 años = ~888 UF adicionales) se acumula y genera retornos propios. La suma de ahorros acumulados del Tramo 2 supera al Tramo 3 durante toda la vida de la hipoteca.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b w:val="false"/>
                <w:bCs w:val="false"/>
                <w:color w:val="1F4E79"/>
                <w:sz w:val="22"/>
                <w:szCs w:val="22"/>
              </w:rPr>
              <w:t xml:space="preserve">Resumiendo: en el Tramo 3, el mayor valor de la propiedad queda capturado por el banco (en intereses) y por el Estado (en menor subsidio). El comprador no se queda con esa diferencia de valor.</w:t>
            </w:r>
          </w:p>
        </w:tc>
      </w:tr>
    </w:tbl>
    <w:p>
      <w:pPr>
        <w:spacing w:after="0" w:before="160"/>
      </w:pP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7. ¿Cuándo podría convenir el Tramo 3?</w:t>
      </w:r>
    </w:p>
    <w:p>
      <w:pPr>
        <w:spacing w:after="120" w:before="80"/>
        <w:jc w:val="left"/>
      </w:pPr>
      <w:r>
        <w:rPr>
          <w:rFonts w:ascii="Arial" w:cs="Arial" w:eastAsia="Arial" w:hAnsi="Arial"/>
          <w:b w:val="false"/>
          <w:bCs w:val="false"/>
          <w:color w:val="222222"/>
          <w:sz w:val="22"/>
          <w:szCs w:val="22"/>
        </w:rPr>
        <w:t xml:space="preserve">El modelo muestra que el Tramo 2 gana siempre con los parámetros actuales. Pero existen circunstancias en que el Tramo 3 podría ser preferible:</w:t>
      </w:r>
    </w:p>
    <w:p>
      <w:pPr>
        <w:pStyle w:val="ListParagraph"/>
        <w:numPr>
          <w:ilvl w:val="0"/>
          <w:numId w:val="2"/>
        </w:numPr>
        <w:spacing w:after="60" w:before="40"/>
      </w:pPr>
      <w:r>
        <w:rPr>
          <w:rFonts w:ascii="Arial" w:cs="Arial" w:eastAsia="Arial" w:hAnsi="Arial"/>
          <w:color w:val="222222"/>
          <w:sz w:val="22"/>
          <w:szCs w:val="22"/>
        </w:rPr>
        <w:t xml:space="preserve">Si se compra en una zona de muy alta plusvalía (Independencia, Ñuñoa), la apreciación de la propiedad más cara puede superar el costo financiero extra. En esas zonas, la plusvalía histórica de 10 años llega al 22–30%, versus el 16% de La Florida.</w:t>
      </w:r>
    </w:p>
    <w:p>
      <w:pPr>
        <w:pStyle w:val="ListParagraph"/>
        <w:numPr>
          <w:ilvl w:val="0"/>
          <w:numId w:val="2"/>
        </w:numPr>
        <w:spacing w:after="60" w:before="40"/>
      </w:pPr>
      <w:r>
        <w:rPr>
          <w:rFonts w:ascii="Arial" w:cs="Arial" w:eastAsia="Arial" w:hAnsi="Arial"/>
          <w:color w:val="222222"/>
          <w:sz w:val="22"/>
          <w:szCs w:val="22"/>
        </w:rPr>
        <w:t xml:space="preserve">Si los ingresos del comprador crecen mucho más rápido que el escenario base (carrera en empresas tecnológicas, gerencias jóvenes), la carga inicial se vuelve irrelevante rápidamente.</w:t>
      </w:r>
    </w:p>
    <w:p>
      <w:pPr>
        <w:pStyle w:val="ListParagraph"/>
        <w:numPr>
          <w:ilvl w:val="0"/>
          <w:numId w:val="2"/>
        </w:numPr>
        <w:spacing w:after="60" w:before="40"/>
      </w:pPr>
      <w:r>
        <w:rPr>
          <w:rFonts w:ascii="Arial" w:cs="Arial" w:eastAsia="Arial" w:hAnsi="Arial"/>
          <w:color w:val="222222"/>
          <w:sz w:val="22"/>
          <w:szCs w:val="22"/>
        </w:rPr>
        <w:t xml:space="preserve">Si hay un segundo ingreso en el hogar desde los primeros años, el ratio dividendo/ingreso del Tramo 3 se vuelve perfectamente manejable.</w:t>
      </w:r>
    </w:p>
    <w:p>
      <w:pPr>
        <w:pStyle w:val="ListParagraph"/>
        <w:numPr>
          <w:ilvl w:val="0"/>
          <w:numId w:val="2"/>
        </w:numPr>
        <w:spacing w:after="60" w:before="40"/>
      </w:pPr>
      <w:r>
        <w:rPr>
          <w:rFonts w:ascii="Arial" w:cs="Arial" w:eastAsia="Arial" w:hAnsi="Arial"/>
          <w:color w:val="222222"/>
          <w:sz w:val="22"/>
          <w:szCs w:val="22"/>
        </w:rPr>
        <w:t xml:space="preserve">Si las tasas hipotecarias bajan a niveles del 2020–2021 (2,5–2,8% en UF), el costo financiero del Tramo 3 se reduce sustancialmente y la brecha de patrimonio final se estrecha.</w:t>
      </w:r>
    </w:p>
    <w:p>
      <w:pPr>
        <w:pStyle w:val="ListParagraph"/>
        <w:numPr>
          <w:ilvl w:val="0"/>
          <w:numId w:val="2"/>
        </w:numPr>
        <w:spacing w:after="60" w:before="40"/>
      </w:pPr>
      <w:r>
        <w:rPr>
          <w:rFonts w:ascii="Arial" w:cs="Arial" w:eastAsia="Arial" w:hAnsi="Arial"/>
          <w:color w:val="222222"/>
          <w:sz w:val="22"/>
          <w:szCs w:val="22"/>
        </w:rPr>
        <w:t xml:space="preserve">Si la persona valora atributos de la propiedad más cara (ubicación, tamaño, calidad de vida) que el modelo no puede capturar en UF.</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40"/>
              <w:bottom w:type="dxa" w:w="160"/>
              <w:right w:type="dxa" w:w="240"/>
            </w:tcMar>
          </w:tcPr>
          <w:p>
            <w:pPr>
              <w:spacing w:after="0" w:before="0"/>
            </w:pPr>
            <w:r>
              <w:rPr>
                <w:rFonts w:ascii="Arial" w:cs="Arial" w:eastAsia="Arial" w:hAnsi="Arial"/>
                <w:b w:val="false"/>
                <w:bCs w:val="false"/>
                <w:color w:val="7F5A00"/>
                <w:sz w:val="22"/>
                <w:szCs w:val="22"/>
              </w:rPr>
              <w:t xml:space="preserve">El análisis financiero puro favorece el Tramo 2. Pero la decisión de dónde vivir involucra factores que no se modelan fácilmente: calidad del barrio, acceso a colegios, tiempo de commute, proyecto de vida familiar.</w:t>
            </w:r>
          </w:p>
        </w:tc>
      </w:tr>
    </w:tbl>
    <w:p>
      <w:pPr>
        <w:spacing w:after="0" w:before="160"/>
      </w:pP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8. Conclusiones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Conclusión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Evidencia del modelo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El Tramo 2 genera más patrimonio en todos los escenarios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T2 supera a T3 por 116–710 UF a los 30 años, dependiendo del escenario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La ventaja del Tramo 2 es mayor cuando la economía va mal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En pesimista la diferencia es 710 UF; en optimista solo 116 UF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El Tramo 3 es riesgoso si el sueldo inicial es bajo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Ratio dividendo/ingreso de 49% en escenario pesimista — supera el umbral 30%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Ambas opciones son viables en escenario base u optimista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Flujos libres positivos desde el primer mes en ambos tramos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La hipoteca se paga sola con el crecimiento del sueldo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La carga hipotecaria cae de 15% a 4,5% en el T2 a lo largo de 20 años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La plusvalía del inmueble es el principal motor de riqueza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ROI de plusvalía supera el 1.300% sobre el ahorro inicial en escenario base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spacing w:after="80" w:before="0"/>
              <w:jc w:val="center"/>
            </w:pPr>
            <w:r>
              <w:rPr>
                <w:rFonts w:ascii="Arial" w:cs="Arial" w:eastAsia="Arial" w:hAnsi="Arial"/>
                <w:b/>
                <w:bCs/>
                <w:color w:val="FFFFFF"/>
                <w:sz w:val="24"/>
                <w:szCs w:val="24"/>
              </w:rPr>
              <w:t xml:space="preserve">RECOMENDACIÓN FINAL</w:t>
            </w:r>
          </w:p>
          <w:p>
            <w:pPr>
              <w:spacing w:after="0" w:before="0"/>
              <w:jc w:val="center"/>
            </w:pPr>
            <w:r>
              <w:rPr>
                <w:rFonts w:ascii="Arial" w:cs="Arial" w:eastAsia="Arial" w:hAnsi="Arial"/>
                <w:color w:val="D6E4F0"/>
                <w:sz w:val="22"/>
                <w:szCs w:val="22"/>
              </w:rPr>
              <w:t xml:space="preserve">Para un ICI de 25 años con 80 UF de ahorro en Santiago, el Tramo 2 del DS1 es la estrategia financieramente superior. Genera más patrimonio, menor riesgo de estrés financiero y mayor flexibilidad mensual — en los tres escenarios económicos simulados.</w:t>
            </w:r>
          </w:p>
        </w:tc>
      </w:tr>
    </w:tbl>
    <w:p>
      <w:pPr>
        <w:spacing w:after="0" w:before="240"/>
      </w:pP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9. Limitaciones del modelo</w:t>
      </w:r>
    </w:p>
    <w:p>
      <w:pPr>
        <w:spacing w:after="120" w:before="80"/>
        <w:jc w:val="left"/>
      </w:pPr>
      <w:r>
        <w:rPr>
          <w:rFonts w:ascii="Arial" w:cs="Arial" w:eastAsia="Arial" w:hAnsi="Arial"/>
          <w:b w:val="false"/>
          <w:bCs w:val="false"/>
          <w:color w:val="222222"/>
          <w:sz w:val="22"/>
          <w:szCs w:val="22"/>
        </w:rPr>
        <w:t xml:space="preserve">Todo modelo simplifica la realidad. Es importante conocer qué asume y qué no captura este análisis:</w:t>
      </w:r>
    </w:p>
    <w:p>
      <w:pPr>
        <w:pStyle w:val="ListParagraph"/>
        <w:numPr>
          <w:ilvl w:val="0"/>
          <w:numId w:val="2"/>
        </w:numPr>
        <w:spacing w:after="60" w:before="40"/>
      </w:pPr>
      <w:r>
        <w:rPr>
          <w:rFonts w:ascii="Arial" w:cs="Arial" w:eastAsia="Arial" w:hAnsi="Arial"/>
          <w:color w:val="222222"/>
          <w:sz w:val="22"/>
          <w:szCs w:val="22"/>
        </w:rPr>
        <w:t xml:space="preserve">El modelo es determinístico: usa tasas fijas de crecimiento. La realidad tiene shocks imprevistos (pérdida de empleo, crisis económicas, pandemias).</w:t>
      </w:r>
    </w:p>
    <w:p>
      <w:pPr>
        <w:pStyle w:val="ListParagraph"/>
        <w:numPr>
          <w:ilvl w:val="0"/>
          <w:numId w:val="2"/>
        </w:numPr>
        <w:spacing w:after="60" w:before="40"/>
      </w:pPr>
      <w:r>
        <w:rPr>
          <w:rFonts w:ascii="Arial" w:cs="Arial" w:eastAsia="Arial" w:hAnsi="Arial"/>
          <w:color w:val="222222"/>
          <w:sz w:val="22"/>
          <w:szCs w:val="22"/>
        </w:rPr>
        <w:t xml:space="preserve">Los gastos del hogar son estimados. Incluye gastos comunes, seguros, mantención y gastos de vida básicos, pero no gastos de educación de hijos, autos, viajes u otros consumos específicos.</w:t>
      </w:r>
    </w:p>
    <w:p>
      <w:pPr>
        <w:pStyle w:val="ListParagraph"/>
        <w:numPr>
          <w:ilvl w:val="0"/>
          <w:numId w:val="2"/>
        </w:numPr>
        <w:spacing w:after="60" w:before="40"/>
      </w:pPr>
      <w:r>
        <w:rPr>
          <w:rFonts w:ascii="Arial" w:cs="Arial" w:eastAsia="Arial" w:hAnsi="Arial"/>
          <w:color w:val="222222"/>
          <w:sz w:val="22"/>
          <w:szCs w:val="22"/>
        </w:rPr>
        <w:t xml:space="preserve">La tasa de impuesto es una simplificación del sistema tributario real chileno, que tiene tramos variables y deducciones.</w:t>
      </w:r>
    </w:p>
    <w:p>
      <w:pPr>
        <w:pStyle w:val="ListParagraph"/>
        <w:numPr>
          <w:ilvl w:val="0"/>
          <w:numId w:val="2"/>
        </w:numPr>
        <w:spacing w:after="60" w:before="40"/>
      </w:pPr>
      <w:r>
        <w:rPr>
          <w:rFonts w:ascii="Arial" w:cs="Arial" w:eastAsia="Arial" w:hAnsi="Arial"/>
          <w:color w:val="222222"/>
          <w:sz w:val="22"/>
          <w:szCs w:val="22"/>
        </w:rPr>
        <w:t xml:space="preserve">No modela el arriendo como alternativa (¿qué pasa si en vez de comprar, el ICI arrienda y invierte la diferencia?).</w:t>
      </w:r>
    </w:p>
    <w:p>
      <w:pPr>
        <w:pStyle w:val="ListParagraph"/>
        <w:numPr>
          <w:ilvl w:val="0"/>
          <w:numId w:val="2"/>
        </w:numPr>
        <w:spacing w:after="60" w:before="40"/>
      </w:pPr>
      <w:r>
        <w:rPr>
          <w:rFonts w:ascii="Arial" w:cs="Arial" w:eastAsia="Arial" w:hAnsi="Arial"/>
          <w:color w:val="222222"/>
          <w:sz w:val="22"/>
          <w:szCs w:val="22"/>
        </w:rPr>
        <w:t xml:space="preserve">No considera la posibilidad de vender la propiedad antes de los 30 años ni la restricción de venta de 5 años del DS1.</w:t>
      </w:r>
    </w:p>
    <w:p>
      <w:pPr>
        <w:pStyle w:val="ListParagraph"/>
        <w:numPr>
          <w:ilvl w:val="0"/>
          <w:numId w:val="2"/>
        </w:numPr>
        <w:spacing w:after="60" w:before="40"/>
      </w:pPr>
      <w:r>
        <w:rPr>
          <w:rFonts w:ascii="Arial" w:cs="Arial" w:eastAsia="Arial" w:hAnsi="Arial"/>
          <w:color w:val="222222"/>
          <w:sz w:val="22"/>
          <w:szCs w:val="22"/>
        </w:rPr>
        <w:t xml:space="preserve">La plusvalía de la propiedad se proyecta con tasas históricas. Los precios inmobiliarios pueden caer (como ocurrió en 2022–2024).</w:t>
      </w:r>
    </w:p>
    <w:p>
      <w:pPr>
        <w:pStyle w:val="ListParagraph"/>
        <w:numPr>
          <w:ilvl w:val="0"/>
          <w:numId w:val="2"/>
        </w:numPr>
        <w:spacing w:after="60" w:before="40"/>
      </w:pPr>
      <w:r>
        <w:rPr>
          <w:rFonts w:ascii="Arial" w:cs="Arial" w:eastAsia="Arial" w:hAnsi="Arial"/>
          <w:color w:val="222222"/>
          <w:sz w:val="22"/>
          <w:szCs w:val="22"/>
        </w:rPr>
        <w:t xml:space="preserve">El escenario pesimista de ingresos asume que el ICI cae en el percentil 25 de la distribución salarial. En ese caso, la elegibilidad del Tramo 3 también es cuestionable por la restricción de ingresos.</w:t>
      </w:r>
    </w:p>
    <w:p>
      <w:pPr>
        <w:pBdr>
          <w:bottom w:val="single" w:color="DDDDDD" w:sz="4" w:space="1"/>
        </w:pBdr>
        <w:spacing w:after="160" w:before="160"/>
      </w:pPr>
    </w:p>
    <w:p>
      <w:pPr>
        <w:pStyle w:val="Heading1"/>
        <w:pBdr>
          <w:bottom w:val="single" w:color="2E75B6" w:sz="6" w:space="6"/>
        </w:pBdr>
        <w:spacing w:after="160" w:before="360"/>
      </w:pPr>
      <w:r>
        <w:rPr>
          <w:rFonts w:ascii="Arial" w:cs="Arial" w:eastAsia="Arial" w:hAnsi="Arial"/>
          <w:b/>
          <w:bCs/>
          <w:color w:val="1F4E79"/>
          <w:sz w:val="36"/>
          <w:szCs w:val="36"/>
        </w:rP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Término</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Qué significa en términos simples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UF (Unidad de Fomento)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Unidad de valor ajustada por inflación. En mayo 2025 equivale a $43.137 CLP.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DS1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Decreto Supremo N°1 del Ministerio de Vivienda. El programa de subsidios habitacionales más usado en Chile.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Dividendo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La cuota mensual fija que se paga al banco por la hipoteca.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Amortización francesa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Sistema de hipoteca de cuota fija donde al inicio se pagan más intereses y al final más capital.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Patrimonio neto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Lo que queda si se vende todo y se pagan todas las deudas. Es la medida real de riqueza.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Flujo libre de caja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Lo que sobra cada mes después de pagar todos los compromisos financieros.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VAN (Valor Actual Neto)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Mide cuánto valen hoy, en pesos de hoy, todos los flujos futuros de una inversión.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Plusvalía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El aumento de valor de una propiedad con el tiempo.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RSH (Registro Social de Hogares)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Sistema del Estado que mide el nivel socioeconómico de los hogares chilenos en percentiles.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BCCh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Banco Central de Chile. Define las tasas de interés de referencia del país.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IPoM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22222"/>
                <w:sz w:val="20"/>
                <w:szCs w:val="20"/>
              </w:rPr>
              <w:t xml:space="preserve">Informe de Política Monetaria del Banco Central. Proyecta el escenario económico.</w:t>
            </w:r>
          </w:p>
        </w:tc>
      </w:tr>
    </w:tbl>
    <w:p>
      <w:pPr>
        <w:spacing w:after="80" w:before="240"/>
      </w:pPr>
    </w:p>
    <w:p>
      <w:pPr>
        <w:spacing w:after="120" w:before="80"/>
        <w:jc w:val="left"/>
      </w:pPr>
      <w:r>
        <w:rPr>
          <w:rFonts w:ascii="Arial" w:cs="Arial" w:eastAsia="Arial" w:hAnsi="Arial"/>
          <w:b w:val="false"/>
          <w:bCs w:val="false"/>
          <w:color w:val="888888"/>
          <w:sz w:val="22"/>
          <w:szCs w:val="22"/>
        </w:rPr>
        <w:t xml:space="preserve">Documento generado con simulación financiera Python. Datos: Mi Futuro MINEDUC 2024, BCCh/CMF, MINVU/ChileAtiende, Portal Inmobiliario/TocToc, INE CASEN 2022, BCCh IPoM/FMI WEO 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jc w:val="center"/>
    </w:pPr>
    <w:r>
      <w:rPr>
        <w:rFonts w:ascii="Arial" w:cs="Arial" w:eastAsia="Arial" w:hAnsi="Arial"/>
        <w:color w:val="AAAAAA"/>
        <w:sz w:val="16"/>
        <w:szCs w:val="16"/>
      </w:rPr>
      <w:t xml:space="preserve">Simulación financiera con datos reales · Mi Futuro MINEDUC 2024 · BCCh · MINVU · Portal Inmobiliario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jc w:val="right"/>
    </w:pPr>
    <w:r>
      <w:rPr>
        <w:rFonts w:ascii="Arial" w:cs="Arial" w:eastAsia="Arial" w:hAnsi="Arial"/>
        <w:color w:val="888888"/>
        <w:sz w:val="18"/>
        <w:szCs w:val="18"/>
      </w:rPr>
      <w:t xml:space="preserve">Análisis Subsidio DS1 — Tramo 2 vs Tramo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2026-06-10T05:50:55.442Z</dcterms:created>
  <dcterms:modified xsi:type="dcterms:W3CDTF">2026-06-10T05:50:55.443Z</dcterms:modified>
</cp:coreProperties>
</file>

<file path=docProps/custom.xml><?xml version="1.0" encoding="utf-8"?>
<Properties xmlns="http://schemas.openxmlformats.org/officeDocument/2006/custom-properties" xmlns:vt="http://schemas.openxmlformats.org/officeDocument/2006/docPropsVTypes"/>
</file>