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Data 90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8"/>
              </w:rPr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pPr>
        <w:spacing w:after="120" w:line="290" w:lineRule="auto"/>
      </w:pPr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Registro detallado de casos</w:t>
      </w:r>
    </w:p>
    <w:p>
      <w:pPr>
        <w:spacing w:after="120" w:line="290" w:lineRule="auto"/>
      </w:pPr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1"/>
        <w:keepNext/>
        <w:spacing w:before="180" w:after="100" w:line="290" w:lineRule="auto"/>
      </w:pPr>
      <w:r>
        <w:rPr>
          <w:b/>
          <w:color w:val="B4232F"/>
          <w:sz w:val="32"/>
          <w:szCs w:val="32"/>
        </w:rPr>
        <w:t>Riesgo alto  20 casos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Historial de conversación y auditoría local.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docs/synchronization.md</w:t>
      </w:r>
      <w:r>
        <w:t/>
      </w:r>
    </w:p>
    <w:p>
      <w:pPr>
        <w:pStyle w:val="Heading2"/>
      </w:pPr>
      <w:r>
        <w:t>Sync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informe de auditoría local, tres rondas.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Fuentes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informe de auditoría local; docs/providers.md.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Planteles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Historial y línea base de fixtures.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Casos reportados el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Paridad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Historial captura compartida; docs/web-preview.md.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Auditoría previa y docs/providers.md.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Proceso QA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D90-QA-041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docs/player-data-coverage.md</w:t>
      </w:r>
      <w:r>
        <w:t/>
      </w:r>
    </w:p>
    <w:p>
      <w:pPr>
        <w:pStyle w:val="Heading1"/>
        <w:keepNext/>
        <w:spacing w:before="180" w:after="100" w:line="290" w:lineRule="auto"/>
      </w:pPr>
      <w:r>
        <w:rPr>
          <w:b/>
          <w:color w:val="B7791F"/>
          <w:sz w:val="32"/>
          <w:szCs w:val="32"/>
        </w:rPr>
        <w:t>Riesgo medio  21 casos</w:t>
      </w:r>
    </w:p>
    <w:p>
      <w:pPr>
        <w:pStyle w:val="Heading2"/>
      </w:pPr>
      <w:r>
        <w:t>PostgreSQL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Escudos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auditoría de escudos.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auditoría de escudos</w:t>
      </w:r>
      <w:r>
        <w:t/>
      </w:r>
    </w:p>
    <w:p>
      <w:pPr>
        <w:pStyle w:val="Heading2"/>
      </w:pPr>
      <w:r>
        <w:t>Búsqueda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Capturas de durante las iteraciones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Solicitudes durante el proyecto; docs/providers.md.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Inicio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de referencia y cambio posterior.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Peticiones del usuario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HTML móvil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pestaña Rendimiento mostraba estadísticas en pocas líneas y dejaba casi toda la pantalla vacía.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modernizó la vista en Premier League y luego se replicó a otras competiciones.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del FC Barcelona como referencia; el cambio posterior recibió aprobación del usuario.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Comparar contenido, espaciado y legibilidad de Rendimiento en todos los formatos de liga y copa.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tarjeta Goles por partido en fichas de equipo mostraba un bloque azul oscuro detrás de los valores.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solicitó quitar el bloque, conservar el fondo natural y mantener en verde los goles a favor; el usuario confirmó el ajuste.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ejemplo como referencia y confirmación posterior.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 tarjeta en todos los equipos/competiciones y confirmar que no reaparezca el fondo.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D90-QA-045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celdas con nombres de rivales aparecían con un rectángulo gris que no correspondía al estilo oscuro.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retirar ese fondo y mantener el estilo natural de las tarjetas.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referencia y ajuste solicitado en la misma conversación.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las vistas de Calendario para resultados pasados y próximos en ligas y copas.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80" w:after="100" w:line="290" w:lineRule="auto"/>
      </w:pPr>
      <w:r>
        <w:rPr>
          <w:b/>
          <w:color w:val="287A58"/>
          <w:sz w:val="32"/>
          <w:szCs w:val="32"/>
        </w:rPr>
        <w:t>Riesgo bajo  4 casos</w:t>
      </w:r>
    </w:p>
    <w:p>
      <w:pPr>
        <w:pStyle w:val="Heading2"/>
      </w:pPr>
      <w:r>
        <w:t>Plantel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D90-QA-026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Solicitud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D90-QA-033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D90-QA-034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Solicitud contexto HTML,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D90-QA-044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  <w:t>Data 90</w:t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columnas de contexto alejaban el nombre del rival de la fecha y comprimían el resto de datos.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acercar esos campos y usar el espacio liberado para que los datos fueran más legibles.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un equipo compartida por el usuario.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Comprobar nombres largos, escudos, resultado y estado en equipos de todas las ligas.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headerReference w:type="default" r:id="rId19"/>
      <w:headerReference w:type="first" r:id="rId20"/>
      <w:footerReference w:type="first" r:id="rId21"/>
      <w:headerReference w:type="even" r:id="rId22"/>
      <w:footerReference w:type="even" r:id="rId23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Data 90  |  Informe de QA  |  13-Oct-2026  |  Página 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C2C3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Data 90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