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/>
        <w:tblBorders>
          <w:top w:val="single" w:sz="8" w:space="0" w:color="31576A"/>
          <w:left w:val="single" w:sz="8" w:space="0" w:color="31576A"/>
          <w:bottom w:val="single" w:sz="8" w:space="0" w:color="31576A"/>
          <w:right w:val="single" w:sz="8" w:space="0" w:color="31576A"/>
          <w:insideH w:val="single" w:sz="8" w:space="0" w:color="31576A"/>
          <w:insideV w:val="single" w:sz="8" w:space="0" w:color="31576A"/>
        </w:tblBorders>
      </w:tblPr>
      <w:tblGrid>
        <w:gridCol w:w="10152"/>
      </w:tblGrid>
      <w:tr>
        <w:trPr>
          <w:cantSplit/>
        </w:trPr>
        <w:tc>
          <w:tcPr>
            <w:tcW w:type="dxa" w:w="10152"/>
            <w:vAlign w:val="center"/>
            <w:shd w:fill="102736" w:val="clear"/>
            <w:tcMar>
              <w:top w:w="260" w:type="dxa"/>
              <w:start w:w="340" w:type="dxa"/>
              <w:bottom w:w="250" w:type="dxa"/>
              <w:end w:w="340" w:type="dxa"/>
            </w:tcMar>
            <w:tcBorders>
              <w:left w:val="single" w:sz="28" w:space="0" w:color="159BB7"/>
            </w:tcBorders>
          </w:tcPr>
          <w:p>
            <w:pPr>
              <w:spacing w:before="0" w:after="140"/>
              <w:jc w:val="left"/>
            </w:pPr>
            <w:r>
              <w:rPr>
                <w:rFonts w:ascii="Aptos" w:hAnsi="Aptos"/>
                <w:b/>
                <w:color w:val="96E1EC"/>
                <w:sz w:val="20"/>
              </w:rPr>
              <w:t>Data 90</w:t>
            </w:r>
          </w:p>
          <w:p>
            <w:pPr>
              <w:keepNext/>
              <w:spacing w:before="0" w:after="160"/>
            </w:pPr>
            <w:r>
              <w:rPr>
                <w:rFonts w:ascii="Aptos Display" w:hAnsi="Aptos Display"/>
                <w:b/>
                <w:color w:val="FFFFFF"/>
                <w:sz w:val="72"/>
              </w:rPr>
              <w:t>REPORTE DE QA</w:t>
            </w:r>
          </w:p>
          <w:p>
            <w:pPr>
              <w:keepNext/>
              <w:spacing w:before="0" w:after="160"/>
            </w:pPr>
            <w:r>
              <w:rPr>
                <w:rFonts w:ascii="Aptos" w:hAnsi="Aptos"/>
                <w:color w:val="D5E8EE"/>
                <w:sz w:val="28"/>
              </w:rPr>
              <w:t>Registro de incidencias, correcciones, riesgos residuales y evidencia</w:t>
            </w:r>
          </w:p>
          <w:p>
            <w:pPr>
              <w:keepNext/>
              <w:spacing w:before="0" w:after="260"/>
            </w:pPr>
            <w:r>
              <w:rPr>
                <w:rFonts w:ascii="Aptos" w:hAnsi="Aptos"/>
                <w:i/>
                <w:color w:val="C3D8DF"/>
                <w:sz w:val="18"/>
              </w:rPr>
              <w:t>Preparado con historial, auditorías y evidencia local. Se distinguen correcciones verificadas, reportadas y pendientes de revalidación.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5" w:space="0" w:color="426173"/>
                <w:left w:val="single" w:sz="5" w:space="0" w:color="426173"/>
                <w:bottom w:val="single" w:sz="5" w:space="0" w:color="426173"/>
                <w:right w:val="single" w:sz="5" w:space="0" w:color="426173"/>
                <w:insideH w:val="single" w:sz="5" w:space="0" w:color="426173"/>
                <w:insideV w:val="single" w:sz="5" w:space="0" w:color="426173"/>
              </w:tblBorders>
            </w:tblPr>
            <w:tblGrid>
              <w:gridCol w:w="2938"/>
              <w:gridCol w:w="2938"/>
              <w:gridCol w:w="2938"/>
            </w:tblGrid>
            <w:tr>
              <w:tc>
                <w:tcPr>
                  <w:tcW w:type="dxa" w:w="2938"/>
                  <w:shd w:fill="173B50" w:val="clear"/>
                  <w:tcMar>
                    <w:top w:w="100" w:type="dxa"/>
                    <w:start w:w="115" w:type="dxa"/>
                    <w:bottom w:w="110" w:type="dxa"/>
                    <w:end w:w="115" w:type="dxa"/>
                  </w:tcMar>
                  <w:vAlign w:val="center"/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Aptos" w:hAnsi="Aptos"/>
                      <w:b/>
                      <w:color w:val="96E1EC"/>
                      <w:sz w:val="16"/>
                    </w:rPr>
                    <w:t>PROYECTO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0"/>
                    </w:rPr>
                    <w:t>Data 90</w:t>
                  </w:r>
                </w:p>
              </w:tc>
              <w:tc>
                <w:tcPr>
                  <w:tcW w:type="dxa" w:w="2938"/>
                  <w:shd w:fill="1B4A60" w:val="clear"/>
                  <w:tcMar>
                    <w:top w:w="100" w:type="dxa"/>
                    <w:start w:w="115" w:type="dxa"/>
                    <w:bottom w:w="110" w:type="dxa"/>
                    <w:end w:w="115" w:type="dxa"/>
                  </w:tcMar>
                  <w:vAlign w:val="center"/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Aptos" w:hAnsi="Aptos"/>
                      <w:b/>
                      <w:color w:val="96E1EC"/>
                      <w:sz w:val="16"/>
                    </w:rPr>
                    <w:t>FECHA DE CORTE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0"/>
                    </w:rPr>
                    <w:t>octubre de 2026 · Córdoba</w:t>
                  </w:r>
                </w:p>
              </w:tc>
              <w:tc>
                <w:tcPr>
                  <w:tcW w:type="dxa" w:w="2938"/>
                  <w:shd w:fill="173B50" w:val="clear"/>
                  <w:tcMar>
                    <w:top w:w="100" w:type="dxa"/>
                    <w:start w:w="115" w:type="dxa"/>
                    <w:bottom w:w="110" w:type="dxa"/>
                    <w:end w:w="115" w:type="dxa"/>
                  </w:tcMar>
                  <w:vAlign w:val="center"/>
                </w:tcPr>
                <w:p>
                  <w:pPr>
                    <w:spacing w:after="60"/>
                    <w:jc w:val="left"/>
                  </w:pPr>
                  <w:r>
                    <w:rPr>
                      <w:rFonts w:ascii="Aptos" w:hAnsi="Aptos"/>
                      <w:b/>
                      <w:color w:val="96E1EC"/>
                      <w:sz w:val="16"/>
                    </w:rPr>
                    <w:t>DICTAMEN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b/>
                      <w:color w:val="FFFFFF"/>
                      <w:sz w:val="20"/>
                    </w:rPr>
                    <w:t>Evaluación documentada; no certifica cobertura total</w:t>
                  </w:r>
                </w:p>
              </w:tc>
            </w:tr>
          </w:tbl>
          <w:p/>
          <w:p>
            <w:pPr>
              <w:spacing w:after="0" w:before="0" w:line="20" w:lineRule="exact"/>
            </w:pPr>
          </w:p>
        </w:tc>
      </w:tr>
    </w:tbl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1. Dictamen ejecutivo</w:t>
      </w:r>
    </w:p>
    <w:p>
      <w:r>
        <w:t>Durante el desarrollo se corrigieron problemas de configuración PostgreSQL, empaquetado Windows, filtro de sincronización por competición y defectos de navegación y diseño. Una auditoría local documentó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Una medición de cobertura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  <w:keepNext/>
        <w:spacing w:before="220" w:after="80" w:line="240" w:lineRule="auto"/>
      </w:pPr>
      <w:r>
        <w:t>Resumen del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102736" w:val="clea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B8444F" w:val="clear"/>
          </w:tcPr>
          <w:p>
            <w:pPr>
              <w:spacing w:after="100" w:before="180" w:line="290" w:lineRule="auto"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B57C1B" w:val="clear"/>
          </w:tcPr>
          <w:p>
            <w:pPr>
              <w:spacing w:after="100" w:before="180" w:line="290" w:lineRule="auto"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39805E" w:val="clear"/>
          </w:tcPr>
          <w:p>
            <w:pPr>
              <w:spacing w:after="100" w:before="180" w:line="290" w:lineRule="auto"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170" w:type="dxa"/>
              <w:start w:w="130" w:type="dxa"/>
              <w:bottom w:w="170" w:type="dxa"/>
              <w:end w:w="130" w:type="dxa"/>
            </w:tcMar>
            <w:shd w:fill="EFF5F8" w:val="clea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102736"/>
                <w:sz w:val="38"/>
              </w:rPr>
              <w:t>45</w:t>
            </w:r>
          </w:p>
        </w:tc>
        <w:tc>
          <w:tcPr>
            <w:tcW w:type="dxa" w:w="2520"/>
            <w:vAlign w:val="center"/>
            <w:tcMar>
              <w:top w:w="170" w:type="dxa"/>
              <w:start w:w="130" w:type="dxa"/>
              <w:bottom w:w="170" w:type="dxa"/>
              <w:end w:w="130" w:type="dxa"/>
            </w:tcMar>
            <w:shd w:fill="EFF5F8" w:val="clea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B8444F"/>
                <w:sz w:val="38"/>
              </w:rPr>
              <w:t>20</w:t>
            </w:r>
          </w:p>
        </w:tc>
        <w:tc>
          <w:tcPr>
            <w:tcW w:type="dxa" w:w="2520"/>
            <w:vAlign w:val="center"/>
            <w:tcMar>
              <w:top w:w="170" w:type="dxa"/>
              <w:start w:w="130" w:type="dxa"/>
              <w:bottom w:w="170" w:type="dxa"/>
              <w:end w:w="130" w:type="dxa"/>
            </w:tcMar>
            <w:shd w:fill="EFF5F8" w:val="clea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B57C1B"/>
                <w:sz w:val="38"/>
              </w:rPr>
              <w:t>21</w:t>
            </w:r>
          </w:p>
        </w:tc>
        <w:tc>
          <w:tcPr>
            <w:tcW w:type="dxa" w:w="2520"/>
            <w:vAlign w:val="center"/>
            <w:tcMar>
              <w:top w:w="170" w:type="dxa"/>
              <w:start w:w="130" w:type="dxa"/>
              <w:bottom w:w="170" w:type="dxa"/>
              <w:end w:w="130" w:type="dxa"/>
            </w:tcMar>
            <w:shd w:fill="EFF5F8" w:val="clea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9805E"/>
                <w:sz w:val="38"/>
              </w:rPr>
              <w:t>4</w:t>
            </w:r>
          </w:p>
        </w:tc>
      </w:tr>
    </w:tbl>
    <w:p>
      <w:pPr>
        <w:spacing w:after="120" w:line="290" w:lineRule="auto"/>
      </w:pPr>
      <w:r>
        <w:t>Riesgo cualitativo de calidad/uso, no probabilidad estadística. “Según historial” no equivale a regresión actual aprobada.</w:t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2. Alcance y método</w:t>
      </w:r>
    </w:p>
    <w:p>
      <w:pPr>
        <w:pStyle w:val="ListBullet"/>
      </w:pPr>
      <w:r>
        <w:t/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Los conteos citados corresponden a una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3. Registro detallado de casos</w:t>
      </w:r>
    </w:p>
    <w:p>
      <w:pPr>
        <w:spacing w:after="120" w:line="290" w:lineRule="auto"/>
      </w:pPr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1"/>
        <w:keepNext/>
        <w:spacing w:before="320" w:after="180" w:line="240" w:lineRule="auto"/>
        <w:ind w:left="202" w:right="115"/>
        <w:jc w:val="left"/>
        <w:shd w:fill="102736" w:val="clear"/>
        <w:pBdr>
          <w:left w:val="single" w:sz="30" w:space="10" w:color="B8444F"/>
        </w:pBdr>
      </w:pPr>
      <w:r>
        <w:rPr>
          <w:rFonts w:ascii="Aptos" w:hAnsi="Aptos" w:eastAsia="Aptos"/>
          <w:b/>
          <w:color w:val="FFFFFF"/>
          <w:sz w:val="32"/>
          <w:szCs w:val="32"/>
        </w:rPr>
        <w:t>Riesgo alto  20 casos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Confirmar .env ignorado por Git y sin secretos en artefactos.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scripts/configure_local_db.py; scripts/configure_postgresql_local.ps1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recuperación sobre base vacía y preexistente.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scripts/configure_local_db.py; scripts/configure_postgresql_local.ps1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Añadir prueba en instalación y migración limpia.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scripts/configure_local_db.py; scripts/configure_postgresql_local.ps1</w:t>
      </w:r>
    </w:p>
    <w:p>
      <w:pPr>
        <w:pStyle w:val="Heading2"/>
        <w:keepNext/>
        <w:spacing w:before="220" w:after="80" w:line="240" w:lineRule="auto"/>
      </w:pPr>
      <w:r>
        <w:t>Ejecutable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Captura de error seguida de confirmación.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Abrir en Windows limpio desde el acceso directo real.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scripts/build_windows.ps1; src/football_analytics/main.py</w:t>
      </w:r>
    </w:p>
    <w:p>
      <w:pPr>
        <w:pStyle w:val="Heading2"/>
        <w:keepNext/>
        <w:spacing w:before="220" w:after="80" w:line="240" w:lineRule="auto"/>
      </w:pPr>
      <w:r>
        <w:t>Actualidad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Abierto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detectó información 2024 cuando el uso requería 2026/27.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Historial de conversación y auditoría local.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Mostrar fecha/fuente del dato y reconciliar todas las competiciones.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docs/synchronization.md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Sync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informe de auditoría local, tres rondas.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Conservar regresiones de selección múltiple y paginación.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src/football_analytics/services/sync_service.py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scripts/register_daily_task.ps1, .env.example.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Inspeccionar tarea/log; PC apagada no sincroniza hasta encenderse.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src/football_analytics/services/sync_service.py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Fuentes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Mantener matriz liga/campo/fuente/cuota/licencia/fecha.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docs/providers.md; docs/player-data-coverage.md</w:t>
      </w:r>
    </w:p>
    <w:p>
      <w:pPr>
        <w:pStyle w:val="Heading2"/>
        <w:keepNext/>
        <w:spacing w:before="220" w:after="80" w:line="240" w:lineRule="auto"/>
      </w:pPr>
      <w:r>
        <w:t>Jugadores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Auditoría previa: perfil parcial y pierna hábil en cero.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Recalcular completitud jugador a jugador por temporada.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docs/providers.md; src/football_analytics/ui/players.py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La línea base registró cero filas de jugador-partido en PL, LaLiga, Serie A, UCL y UEL.</w:t>
      </w:r>
      <w:r>
        <w:t/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informe de auditoría local; docs/providers.md.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Medir cobertura actual y contrastar muestra con fuente fiable.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docs/providers.md; src/football_analytics/ui/players.py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Generar lista de candidatos por ID/alias/nacimiento/club y revisar uno a uno.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docs/providers.md; src/football_analytics/ui/players.py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Planteles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informe de auditoría local: Werder, Lyon, Rennes, Milan y 29/36 UEL.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Conciliar plantel y técnico por club/temporada contra roster vigente.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Pestaña de partidos/calendario carecía de datos esperados.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Historial y línea base de fixtures.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Reconciliar fixture por competición con organizador.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Casos reportados el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Pruebas oracle de simultaneidad, derby, sede invertida y copa.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Heading2"/>
        <w:keepNext/>
        <w:spacing w:before="220" w:after="80" w:line="240" w:lineRule="auto"/>
      </w:pPr>
      <w:r>
        <w:t>Paridad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Historial captura compartida; docs/web-preview.md.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Capturas comparables de todas las pantallas/estados.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src/football_analytics/web/; src/football_analytics/main.py; docs/web-preview.md</w:t>
      </w:r>
    </w:p>
    <w:p>
      <w:pPr>
        <w:pStyle w:val="Heading2"/>
        <w:keepNext/>
        <w:spacing w:before="220" w:after="80" w:line="240" w:lineRule="auto"/>
      </w:pPr>
      <w:r>
        <w:t>Distribución web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docs/web-preview.md.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Preparar staging protegido antes de distribuir enlace.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docs/web-preview.md</w:t>
      </w:r>
    </w:p>
    <w:p>
      <w:pPr>
        <w:pStyle w:val="Heading2"/>
        <w:keepNext/>
        <w:spacing w:before="220" w:after="80" w:line="240" w:lineRule="auto"/>
      </w:pPr>
      <w:r>
        <w:t>Nulos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Un campo sin fuente podía parecer estadística deportiva cero.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Auditoría previa y docs/providers.md.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Buscar default 0 en importación, agregados y UI.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docs/providers.md; src/football_analytics/services/</w:t>
      </w:r>
    </w:p>
    <w:p>
      <w:pPr>
        <w:pStyle w:val="Heading2"/>
        <w:keepNext/>
        <w:spacing w:before="220" w:after="80" w:line="240" w:lineRule="auto"/>
      </w:pPr>
      <w:r>
        <w:t>Proveedores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Revisar licencia/atribución y almacenar procedencia por dato.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docs/providers.md; docs/licenses-and-attribution.md</w:t>
      </w:r>
    </w:p>
    <w:p>
      <w:pPr>
        <w:pStyle w:val="Heading2"/>
        <w:keepNext/>
        <w:spacing w:before="220" w:after="80" w:line="240" w:lineRule="auto"/>
      </w:pPr>
      <w:r>
        <w:t>Cobertura de clubes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del usuario y docs/providers.md.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Medir cobertura por equipo/campo y comparar partidos finalizados.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Proceso QA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9ECEE" w:val="clear"/>
        <w:pBdr>
          <w:left w:val="single" w:sz="24" w:space="8" w:color="B8444F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8444F"/>
                <w:sz w:val="17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9EC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Una auditoría aportó la línea base; posteriores cargas sin reporte consolidado.</w:t>
      </w:r>
      <w:r>
        <w:t/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Criterios de cierre por competición/campo, con fecha y evidencia.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docs/player-data-coverage.md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1"/>
        <w:keepNext/>
        <w:spacing w:before="320" w:after="180" w:line="240" w:lineRule="auto"/>
        <w:ind w:left="202" w:right="115"/>
        <w:jc w:val="left"/>
        <w:shd w:fill="102736" w:val="clear"/>
        <w:pageBreakBefore/>
        <w:pBdr>
          <w:left w:val="single" w:sz="30" w:space="10" w:color="B57C1B"/>
        </w:pBdr>
      </w:pPr>
      <w:r>
        <w:rPr>
          <w:rFonts w:ascii="Aptos" w:hAnsi="Aptos" w:eastAsia="Aptos"/>
          <w:b/>
          <w:color w:val="FFFFFF"/>
          <w:sz w:val="32"/>
          <w:szCs w:val="32"/>
        </w:rPr>
        <w:t>Riesgo medio  21 casos</w:t>
      </w:r>
    </w:p>
    <w:p>
      <w:pPr>
        <w:pStyle w:val="Heading2"/>
        <w:keepNext/>
        <w:spacing w:before="220" w:after="80" w:line="240" w:lineRule="auto"/>
      </w:pPr>
      <w:r>
        <w:t>PostgreSQL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Windows rechazó el script local antes de ejecutarlo.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Salida de consola del usuario, en una salida compartida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Revisar guía de ejecución temporal en Windows limpio.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scripts/configure_local_db.py; scripts/configure_postgresql_local.ps1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reportaron aperturas fallidas y versiones antiguas.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Verificar destino del acceso directo e identificar la versión en pantalla.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scripts/build_windows.ps1; src/football_analytics/main.py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No consta que se haya corregido.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Comparación de archivos locales,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Unificar guía, zona horaria y configuración instalada.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src/football_analytics/services/sync_service.py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Jugadores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del usuario y código ui/players.py.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Smoke test desde plantel, goleadores y búsqueda en todas las ligas.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local; docs/providers.md; src/football_analytics/ui/players.py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Escudos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Varios clubes aparecían sin su escudo o con imagen incorrecta.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auditoría de escudos.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Inspección visual de cada escudo activo y fallback neutral.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auditoría de escudos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Búsqueda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sobre Lautaro y Lisandro Martínez.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alias, acentos y homónimos con ID de destino correcto.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src/football_analytics/repositories/global_search.py; src/football_analytics/ui/search.py</w:t>
      </w:r>
    </w:p>
    <w:p>
      <w:pPr>
        <w:pStyle w:val="Heading2"/>
        <w:keepNext/>
        <w:spacing w:before="220" w:after="80" w:line="240" w:lineRule="auto"/>
      </w:pPr>
      <w:r>
        <w:t>Equipos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pestaña resumen no aportaba; UCL/UEL diferían de ligas.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Historial de solicitudes/ediciones de UI.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Comparar cada pestaña y competición lado a lado.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Heading2"/>
        <w:keepNext/>
        <w:spacing w:before="220" w:after="80" w:line="240" w:lineRule="auto"/>
      </w:pPr>
      <w:r>
        <w:t>Competiciones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Capturas de durante las iteraciones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textos largos, todos los formatos y resoluciones.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compartida como ejemplo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20" w:after="80" w:line="240" w:lineRule="auto"/>
      </w:pPr>
      <w:r>
        <w:t>Equipos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 Premier captura compartida y pedido de réplica.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Revisar nombres largos y todas las competiciones.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vista duplicaba secciones y ocultaba comparación conjunta.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Solicitudes durante el proyecto; docs/providers.md.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Validar valores/nulos, local/visitante y promedios.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 Arsenal revisión previa y confirmación posterior.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inversión local/visitante, empate y todas las ligas.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20" w:after="80" w:line="240" w:lineRule="auto"/>
      </w:pPr>
      <w:r>
        <w:t>Partidos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La hora se mantenía tras terminar el encuentro.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y código home/teams.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estados y zona horaria desde datos reales.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src/football_analytics/ui/teams.py</w:t>
      </w:r>
    </w:p>
    <w:p>
      <w:pPr>
        <w:pStyle w:val="Heading2"/>
        <w:keepNext/>
        <w:spacing w:before="220" w:after="80" w:line="240" w:lineRule="auto"/>
      </w:pPr>
      <w:r>
        <w:t>Equipos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En varias vistas se recortaba equipo o no aparecía escudo.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Cargador común y ajuste de columnas.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Repasar tabla, partido, búsqueda, fixture, roster y ficha.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src/football_analytics/ui/teams.py; src/football_analytics/ui/competitions.py</w:t>
      </w:r>
    </w:p>
    <w:p>
      <w:pPr>
        <w:pStyle w:val="Heading2"/>
        <w:keepNext/>
        <w:spacing w:before="220" w:after="80" w:line="240" w:lineRule="auto"/>
      </w:pPr>
      <w:r>
        <w:t>Navegación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Selector debía abrir ficha propia, no calendario global.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Solicitud urgente y aperturas posteriores.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Inicio→competición→equipo→Inicio y deep links.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informe de auditoría local</w:t>
      </w:r>
      <w:r>
        <w:rPr>
          <w:rFonts w:ascii="Aptos" w:hAnsi="Aptos" w:eastAsia="Aptos"/>
          <w:color w:val="607786"/>
          <w:sz w:val="16"/>
        </w:rPr>
        <w:t/>
      </w:r>
    </w:p>
    <w:p>
      <w:pPr>
        <w:pStyle w:val="Heading2"/>
        <w:keepNext/>
        <w:spacing w:before="220" w:after="80" w:line="240" w:lineRule="auto"/>
      </w:pPr>
      <w:r>
        <w:t>Inicio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Se pidió inicio como agenda global con fixture por liga.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docs/web-preview.md e historial de UX.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cambio de día, partido, zona horaria y día vacío.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 de referencia y cambio posterior.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Revisar inicio, rendimiento, tabla y fichas.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Martes/miércoles no mostraban insignia de copa como fondo.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Peticiones del usuario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Comparar versión escritorio y HTML para cada fecha europea.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Heading2"/>
        <w:keepNext/>
        <w:spacing w:before="220" w:after="80" w:line="240" w:lineRule="auto"/>
      </w:pPr>
      <w:r>
        <w:t>HTML móvil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FBF4E7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Chrome móvil mostró estilo por defecto y texto lineal.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Captura del captura compartida; scripts/export_shareable_html.py.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archivo transferido por WhatsApp en móvil y sin conexión.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scripts/export_shareable_html.py; docs/web-preview.md</w:t>
      </w:r>
    </w:p>
    <w:p>
      <w:pPr>
        <w:pStyle w:val="Caption"/>
        <w:keepNext/>
        <w:jc w:val="center"/>
      </w:pPr>
      <w:r>
        <w:t>Captura compartida como ejemplo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D90-QA-042 · Rendimiento del equipo tenía poco contenido y mucho espacio vacío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color w:val="607786"/>
          <w:sz w:val="18"/>
          <w:b/>
        </w:rPr>
        <w:t>Síntoma:</w:t>
      </w:r>
      <w:r>
        <w:rPr>
          <w:rFonts w:ascii="Aptos" w:hAnsi="Aptos"/>
          <w:sz w:val="18"/>
        </w:rPr>
        <w:t> La pestaña Rendimiento mostraba estadísticas en pocas líneas y dejaba casi toda la pantalla vacía.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color w:val="39805E"/>
          <w:sz w:val="18"/>
          <w:b/>
        </w:rPr>
        <w:t>Corrección o estado registrado:</w:t>
      </w:r>
      <w:r>
        <w:rPr>
          <w:rFonts w:ascii="Aptos" w:hAnsi="Aptos"/>
          <w:sz w:val="18"/>
        </w:rPr>
        <w:t> Se modernizó la vista en Premier League y luego se replicó a otras competiciones.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color w:val="159BB7"/>
          <w:sz w:val="18"/>
          <w:b/>
        </w:rPr>
        <w:t>Evidencia y verificación:</w:t>
      </w:r>
      <w:r>
        <w:rPr>
          <w:rFonts w:ascii="Aptos" w:hAnsi="Aptos"/>
          <w:sz w:val="18"/>
        </w:rPr>
        <w:t> Captura del FC Barcelona como referencia; el cambio posterior recibió aprobación del usuario.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color w:val="B57C1B"/>
          <w:sz w:val="18"/>
          <w:b/>
        </w:rPr>
        <w:t>Siguiente control QA:</w:t>
      </w:r>
      <w:r>
        <w:rPr>
          <w:rFonts w:ascii="Aptos" w:hAnsi="Aptos"/>
          <w:sz w:val="18"/>
        </w:rPr>
        <w:t> Comparar contenido, espaciado y legibilidad de Rendimiento en todos los formatos de liga y copa.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color w:val="607786"/>
          <w:sz w:val="16"/>
          <w:b/>
        </w:rPr>
        <w:t>Referencias:</w:t>
      </w:r>
      <w:r>
        <w:rPr>
          <w:rFonts w:ascii="Aptos" w:hAnsi="Aptos" w:eastAsia="Aptos"/>
          <w:color w:val="607786"/>
          <w:sz w:val="16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D90-QA-043 · Fondo azul oscuro no deseado en goles por partido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color w:val="607786"/>
          <w:sz w:val="18"/>
          <w:b/>
        </w:rPr>
        <w:t>Síntoma:</w:t>
      </w:r>
      <w:r>
        <w:rPr>
          <w:rFonts w:ascii="Aptos" w:hAnsi="Aptos"/>
          <w:sz w:val="18"/>
        </w:rPr>
        <w:t> La tarjeta Goles por partido en fichas de equipo mostraba un bloque azul oscuro detrás de los valores.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color w:val="39805E"/>
          <w:sz w:val="18"/>
          <w:b/>
        </w:rPr>
        <w:t>Corrección o estado registrado:</w:t>
      </w:r>
      <w:r>
        <w:rPr>
          <w:rFonts w:ascii="Aptos" w:hAnsi="Aptos"/>
          <w:sz w:val="18"/>
        </w:rPr>
        <w:t> Se solicitó quitar el bloque, conservar el fondo natural y mantener en verde los goles a favor; el usuario confirmó el ajuste.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color w:val="159BB7"/>
          <w:sz w:val="18"/>
          <w:b/>
        </w:rPr>
        <w:t>Evidencia y verificación:</w:t>
      </w:r>
      <w:r>
        <w:rPr>
          <w:rFonts w:ascii="Aptos" w:hAnsi="Aptos"/>
          <w:sz w:val="18"/>
        </w:rPr>
        <w:t> Captura de ejemplo como referencia y confirmación posterior.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color w:val="B57C1B"/>
          <w:sz w:val="18"/>
          <w:b/>
        </w:rPr>
        <w:t>Siguiente control QA:</w:t>
      </w:r>
      <w:r>
        <w:rPr>
          <w:rFonts w:ascii="Aptos" w:hAnsi="Aptos"/>
          <w:sz w:val="18"/>
        </w:rPr>
        <w:t> Revisar la tarjeta en todos los equipos/competiciones y confirmar que no reaparezca el fondo.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color w:val="607786"/>
          <w:sz w:val="16"/>
          <w:b/>
        </w:rPr>
        <w:t>Referencias:</w:t>
      </w:r>
      <w:r>
        <w:rPr>
          <w:rFonts w:ascii="Aptos" w:hAnsi="Aptos" w:eastAsia="Aptos"/>
          <w:color w:val="607786"/>
          <w:sz w:val="16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FBF4E7" w:val="clear"/>
        <w:pBdr>
          <w:left w:val="single" w:sz="24" w:space="8" w:color="B57C1B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D90-QA-045 · Fondo gris cubría nombres de rivales en el calendario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B57C1B"/>
                <w:sz w:val="17"/>
                <w:szCs w:val="18"/>
              </w:rPr>
              <w:t>Medio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BF4E7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color w:val="607786"/>
          <w:sz w:val="18"/>
          <w:b/>
        </w:rPr>
        <w:t>Síntoma:</w:t>
      </w:r>
      <w:r>
        <w:rPr>
          <w:rFonts w:ascii="Aptos" w:hAnsi="Aptos"/>
          <w:sz w:val="18"/>
        </w:rPr>
        <w:t> Las celdas con nombres de rivales aparecían con un rectángulo gris que no correspondía al estilo oscuro.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color w:val="39805E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retirar ese fondo y mantener el estilo natural de las tarjetas.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color w:val="159BB7"/>
          <w:sz w:val="18"/>
          <w:b/>
        </w:rPr>
        <w:t>Evidencia y verificación:</w:t>
      </w:r>
      <w:r>
        <w:rPr>
          <w:rFonts w:ascii="Aptos" w:hAnsi="Aptos"/>
          <w:sz w:val="18"/>
        </w:rPr>
        <w:t> Captura de referencia y ajuste solicitado en la misma conversación.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color w:val="B57C1B"/>
          <w:sz w:val="18"/>
          <w:b/>
        </w:rPr>
        <w:t>Siguiente control QA:</w:t>
      </w:r>
      <w:r>
        <w:rPr>
          <w:rFonts w:ascii="Aptos" w:hAnsi="Aptos"/>
          <w:sz w:val="18"/>
        </w:rPr>
        <w:t> Revisar las vistas de Calendario para resultados pasados y próximos en ligas y copas.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color w:val="607786"/>
          <w:sz w:val="16"/>
          <w:b/>
        </w:rPr>
        <w:t>Referencias:</w:t>
      </w:r>
      <w:r>
        <w:rPr>
          <w:rFonts w:ascii="Aptos" w:hAnsi="Aptos" w:eastAsia="Aptos"/>
          <w:color w:val="607786"/>
          <w:sz w:val="16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20" w:after="180" w:line="240" w:lineRule="auto"/>
        <w:ind w:left="202" w:right="115"/>
        <w:jc w:val="left"/>
        <w:shd w:fill="102736" w:val="clear"/>
        <w:pageBreakBefore/>
        <w:pBdr>
          <w:left w:val="single" w:sz="30" w:space="10" w:color="39805E"/>
        </w:pBdr>
      </w:pPr>
      <w:r>
        <w:rPr>
          <w:rFonts w:ascii="Aptos" w:hAnsi="Aptos" w:eastAsia="Aptos"/>
          <w:b/>
          <w:color w:val="FFFFFF"/>
          <w:sz w:val="32"/>
          <w:szCs w:val="32"/>
        </w:rPr>
        <w:t>Riesgo bajo  4 casos</w:t>
      </w:r>
    </w:p>
    <w:p>
      <w:pPr>
        <w:pStyle w:val="Heading2"/>
        <w:keepNext/>
        <w:spacing w:before="220" w:after="80" w:line="240" w:lineRule="auto"/>
      </w:pPr>
      <w:r>
        <w:t>Plantel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EAF4EE" w:val="clear"/>
        <w:pBdr>
          <w:left w:val="single" w:sz="24" w:space="8" w:color="39805E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Solicitud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alturas diferentes sin ocultar jugadores.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src/football_analytics/ui/teams.py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EAF4EE" w:val="clear"/>
        <w:pBdr>
          <w:left w:val="single" w:sz="24" w:space="8" w:color="39805E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Nombres se apilaban y separación variaba entre clubes.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</w:t>
      </w:r>
      <w:r>
        <w:t>Historial de diseño de Inicio.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Probar pantallas pequeñas y nombres extensos.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docs/web-preview.md</w:t>
      </w:r>
    </w:p>
    <w:p>
      <w:pPr>
        <w:pStyle w:val="Heading2"/>
        <w:keepNext/>
        <w:spacing w:before="220" w:after="80" w:line="240" w:lineRule="auto"/>
      </w:pPr>
      <w:r>
        <w:t>Europa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EAF4EE" w:val="clear"/>
        <w:pBdr>
          <w:left w:val="single" w:sz="24" w:space="8" w:color="39805E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b/>
          <w:color w:val="607786"/>
        </w:rPr>
        <w:t xml:space="preserve">Síntoma: </w:t>
      </w:r>
      <w:r>
        <w:t>Etiquetas extranjeras aparecían en Champions y Europa.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b/>
          <w:color w:val="39805E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b/>
          <w:color w:val="159BB7"/>
        </w:rPr>
        <w:t xml:space="preserve">Evidencia y verificación: Solicitud contexto HTML, captura compartida.</w:t>
      </w:r>
      <w:r>
        <w:t/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b/>
          <w:color w:val="B57C1B"/>
        </w:rPr>
        <w:t xml:space="preserve">Siguiente control QA: </w:t>
      </w:r>
      <w:r>
        <w:t>Verificar liga/fase eliminatoria y rondas incompletas.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b/>
          <w:color w:val="607786"/>
          <w:sz w:val="16"/>
        </w:rPr>
        <w:t xml:space="preserve">Referencias: </w:t>
      </w:r>
      <w:r>
        <w:rPr>
          <w:rFonts w:ascii="Aptos" w:hAnsi="Aptos" w:eastAsia="Aptos"/>
          <w:color w:val="607786"/>
          <w:sz w:val="16"/>
        </w:rPr>
        <w:t>src/football_analytics/ui/home.py; src/football_analytics/ui/competitions.py</w:t>
      </w:r>
    </w:p>
    <w:p>
      <w:pPr>
        <w:pStyle w:val="Heading3"/>
        <w:keepNext/>
        <w:spacing w:before="200" w:after="100" w:line="240" w:lineRule="auto"/>
        <w:keepLines/>
        <w:ind w:left="173"/>
        <w:jc w:val="left"/>
        <w:shd w:fill="EAF4EE" w:val="clear"/>
        <w:pBdr>
          <w:left w:val="single" w:sz="24" w:space="8" w:color="39805E"/>
        </w:pBdr>
      </w:pPr>
      <w:r>
        <w:rPr>
          <w:rFonts w:ascii="Aptos Display" w:hAnsi="Aptos Display" w:eastAsia="Aptos Display"/>
          <w:b/>
          <w:color w:val="102736"/>
          <w:sz w:val="25"/>
          <w:szCs w:val="26"/>
        </w:rPr>
        <w:t>D90-QA-044 · Historial de partidos dejaba demasiado espacio entre fecha y rival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Riesgo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Estado</w:t>
            </w:r>
          </w:p>
        </w:tc>
        <w:tc>
          <w:tcPr>
            <w:tcW w:type="dxa" w:w="2520"/>
            <w:shd w:fill="173B50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</w:r>
            <w:r>
              <w:rPr>
                <w:rFonts w:ascii="Aptos" w:hAnsi="Aptos" w:eastAsia="Aptos"/>
                <w:b/>
                <w:color w:val="FFFFFF"/>
                <w:sz w:val="16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EAF4EE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</w:r>
            <w:r>
              <w:rPr>
                <w:rFonts w:ascii="Aptos" w:hAnsi="Aptos" w:eastAsia="Aptos"/>
                <w:b/>
                <w:color w:val="39805E"/>
                <w:sz w:val="17"/>
                <w:szCs w:val="18"/>
              </w:rPr>
              <w:t>Bajo</w:t>
            </w:r>
          </w:p>
        </w:tc>
        <w:tc>
          <w:tcPr>
            <w:tcW w:type="dxa" w:w="2520"/>
            <w:shd w:fill="EAF4EE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  <w:t>Ajustado según historial; revisión regresiva pendiente</w:t>
            </w:r>
          </w:p>
        </w:tc>
        <w:tc>
          <w:tcPr>
            <w:tcW w:type="dxa" w:w="2520"/>
            <w:shd w:fill="EAF4EE" w:val="clear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keepLines/>
              <w:keepNext/>
            </w:pPr>
            <w:r>
              <w:rPr>
                <w:rFonts w:ascii="Aptos" w:hAnsi="Aptos" w:eastAsia="Aptos"/>
                <w:color w:val="142D3D"/>
                <w:sz w:val="17"/>
                <w:szCs w:val="18"/>
              </w:rPr>
              <w:t>Data 90</w:t>
            </w:r>
            <w:r>
              <w:rPr>
                <w:rFonts w:ascii="Aptos" w:hAnsi="Aptos" w:eastAsia="Aptos"/>
                <w:b w:val="0"/>
                <w:color w:val="142D3D"/>
                <w:sz w:val="17"/>
                <w:szCs w:val="18"/>
              </w:rPr>
            </w:r>
          </w:p>
        </w:tc>
      </w:tr>
    </w:tbl>
    <w:p>
      <w:pPr>
        <w:keepLines/>
        <w:spacing w:after="80" w:line="254" w:lineRule="auto" w:before="20"/>
        <w:keepNext/>
        <w:shd w:fill="F3F7F9" w:val="clear"/>
        <w:pBdr>
          <w:left w:val="single" w:sz="14" w:space="6" w:color="607786"/>
        </w:pBdr>
        <w:ind w:left="173" w:right="72"/>
      </w:pPr>
      <w:r>
        <w:rPr>
          <w:rFonts w:ascii="Aptos" w:hAnsi="Aptos" w:eastAsia="Aptos"/>
          <w:color w:val="607786"/>
          <w:sz w:val="18"/>
          <w:b/>
        </w:rPr>
        <w:t>Síntoma:</w:t>
      </w:r>
      <w:r>
        <w:rPr>
          <w:rFonts w:ascii="Aptos" w:hAnsi="Aptos"/>
          <w:sz w:val="18"/>
        </w:rPr>
        <w:t> Las columnas de contexto alejaban el nombre del rival de la fecha y comprimían el resto de datos.</w:t>
      </w:r>
    </w:p>
    <w:p>
      <w:pPr>
        <w:keepLines/>
        <w:spacing w:after="80" w:line="254" w:lineRule="auto" w:before="20"/>
        <w:keepNext/>
        <w:shd w:fill="EEF6F0" w:val="clear"/>
        <w:pBdr>
          <w:left w:val="single" w:sz="14" w:space="6" w:color="39805E"/>
        </w:pBdr>
        <w:ind w:left="173" w:right="72"/>
      </w:pPr>
      <w:r>
        <w:rPr>
          <w:rFonts w:ascii="Aptos" w:hAnsi="Aptos" w:eastAsia="Aptos"/>
          <w:color w:val="39805E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acercar esos campos y usar el espacio liberado para que los datos fueran más legibles.</w:t>
      </w:r>
    </w:p>
    <w:p>
      <w:pPr>
        <w:keepLines/>
        <w:spacing w:after="80" w:line="254" w:lineRule="auto" w:before="20"/>
        <w:keepNext/>
        <w:shd w:fill="EDF6F8" w:val="clear"/>
        <w:pBdr>
          <w:left w:val="single" w:sz="14" w:space="6" w:color="159BB7"/>
        </w:pBdr>
        <w:ind w:left="173" w:right="72"/>
      </w:pPr>
      <w:r>
        <w:rPr>
          <w:rFonts w:ascii="Aptos" w:hAnsi="Aptos" w:eastAsia="Aptos"/>
          <w:color w:val="159BB7"/>
          <w:sz w:val="18"/>
          <w:b/>
        </w:rPr>
        <w:t>Evidencia y verificación:</w:t>
      </w:r>
      <w:r>
        <w:rPr>
          <w:rFonts w:ascii="Aptos" w:hAnsi="Aptos"/>
          <w:sz w:val="18"/>
        </w:rPr>
        <w:t> Captura de un equipo compartida por el usuario.</w:t>
      </w:r>
    </w:p>
    <w:p>
      <w:pPr>
        <w:keepLines/>
        <w:spacing w:after="80" w:line="254" w:lineRule="auto" w:before="20"/>
        <w:keepNext/>
        <w:shd w:fill="FBF5E9" w:val="clear"/>
        <w:pBdr>
          <w:left w:val="single" w:sz="14" w:space="6" w:color="B57C1B"/>
        </w:pBdr>
        <w:ind w:left="173" w:right="72"/>
      </w:pPr>
      <w:r>
        <w:rPr>
          <w:rFonts w:ascii="Aptos" w:hAnsi="Aptos" w:eastAsia="Aptos"/>
          <w:color w:val="B57C1B"/>
          <w:sz w:val="18"/>
          <w:b/>
        </w:rPr>
        <w:t>Siguiente control QA:</w:t>
      </w:r>
      <w:r>
        <w:rPr>
          <w:rFonts w:ascii="Aptos" w:hAnsi="Aptos"/>
          <w:sz w:val="18"/>
        </w:rPr>
        <w:t> Comprobar nombres largos, escudos, resultado y estado en equipos de todas las ligas.</w:t>
      </w:r>
    </w:p>
    <w:p>
      <w:pPr>
        <w:keepNext w:val="0"/>
        <w:keepLines/>
        <w:spacing w:after="40" w:line="254" w:lineRule="auto" w:before="20"/>
        <w:ind w:left="0" w:right="0"/>
      </w:pPr>
      <w:r>
        <w:rPr>
          <w:rFonts w:ascii="Aptos" w:hAnsi="Aptos" w:eastAsia="Aptos"/>
          <w:color w:val="607786"/>
          <w:sz w:val="16"/>
          <w:b/>
        </w:rPr>
        <w:t>Referencias:</w:t>
      </w:r>
      <w:r>
        <w:rPr>
          <w:rFonts w:ascii="Aptos" w:hAnsi="Aptos" w:eastAsia="Aptos"/>
          <w:color w:val="607786"/>
          <w:sz w:val="16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4. Línea base cuantitativa</w:t>
      </w:r>
    </w:p>
    <w:p>
      <w:r>
        <w:t>Datos históricos de una auditoría local; no reflejan un estado recalculado al cierre de la revisión.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FT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173B50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306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811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446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306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63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1157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697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LaLiga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70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742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365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Ligue 1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306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45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745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384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50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769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227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Serie A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380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50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816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233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144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18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1070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202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39805E"/>
                <w:sz w:val="17"/>
              </w:rPr>
            </w:r>
            <w:r>
              <w:rPr>
                <w:rFonts w:ascii="Aptos" w:hAnsi="Aptos" w:eastAsia="Aptos"/>
                <w:b/>
                <w:color w:val="39805E"/>
                <w:sz w:val="17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144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18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151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231</w:t>
            </w:r>
          </w:p>
        </w:tc>
        <w:tc>
          <w:tcPr>
            <w:tcW w:type="dxa" w:w="168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EAF4EE" w:val="clear"/>
            <w:tcBorders>
              <w:top w:val="single" w:sz="4" w:color="D7E3E9"/>
              <w:bottom w:val="single" w:sz="4" w:color="D7E3E9"/>
              <w:start w:val="single" w:sz="4" w:color="D7E3E9"/>
              <w:end w:val="single" w:sz="4" w:color="D7E3E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color w:val="142D3D"/>
                <w:sz w:val="17"/>
              </w:rPr>
            </w:r>
            <w:r>
              <w:rPr>
                <w:rFonts w:ascii="Aptos" w:hAnsi="Aptos" w:eastAsia="Aptos"/>
                <w:b w:val="0"/>
                <w:color w:val="142D3D"/>
                <w:sz w:val="17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  <w:keepNext/>
        <w:spacing w:before="340" w:after="140" w:line="240" w:lineRule="auto"/>
        <w:shd w:fill="EDF4F7" w:val="clear"/>
        <w:pBdr>
          <w:left w:val="single" w:sz="24" w:space="9" w:color="159BB7"/>
        </w:pBdr>
        <w:ind w:left="160" w:right="80"/>
      </w:pPr>
      <w:r>
        <w:t>7. Evidencias consultadas y límites</w:t>
      </w:r>
    </w:p>
    <w:p>
      <w:pPr>
        <w:pStyle w:val="ListBullet"/>
      </w:pPr>
      <w:r>
        <w:t>Git local desde el primer commit documentado (9108fe1).</w:t>
      </w:r>
    </w:p>
    <w:p>
      <w:pPr>
        <w:pStyle w:val="ListBullet"/>
      </w:pPr>
      <w:r>
        <w:t>informe de auditoría local — base, pruebas, integridad y cobertura.</w:t>
      </w:r>
    </w:p>
    <w:p>
      <w:pPr>
        <w:pStyle w:val="ListBullet"/>
      </w:pPr>
      <w:r>
        <w:t>auditoría de escudos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durante el desarrollo.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headerReference w:type="default" r:id="rId19"/>
      <w:headerReference w:type="first" r:id="rId20"/>
      <w:footerReference w:type="first" r:id="rId21"/>
      <w:headerReference w:type="even" r:id="rId22"/>
      <w:footerReference w:type="even" r:id="rId23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  <w:pBdr>
        <w:top w:val="single" w:sz="6" w:space="5" w:color="A9C2CF"/>
      </w:pBdr>
    </w:pPr>
    <w:r>
      <w:rPr>
        <w:rFonts w:ascii="Aptos" w:hAnsi="Aptos" w:eastAsia="Aptos"/>
        <w:b/>
        <w:color w:val="607786"/>
        <w:sz w:val="16"/>
      </w:rPr>
      <w:t xml:space="preserve">REGISTRO QA     •     PÁGINA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right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120"/>
      <w:gridCol w:w="4032"/>
    </w:tblGrid>
    <w:tr>
      <w:tc>
        <w:tcPr>
          <w:tcW w:type="dxa" w:w="6120"/>
          <w:shd w:fill="102736" w:val="clear"/>
          <w:tcMar>
            <w:top w:w="70" w:type="dxa"/>
            <w:start w:w="130" w:type="dxa"/>
            <w:bottom w:w="70" w:type="dxa"/>
            <w:end w:w="130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98E5F1"/>
              <w:sz w:val="18"/>
            </w:rPr>
            <w:t>D90   Data 90</w:t>
          </w:r>
          <w:r>
            <w:rPr>
              <w:rFonts w:ascii="Aptos" w:hAnsi="Aptos"/>
              <w:b/>
              <w:color w:val="FFFFFF"/>
              <w:sz w:val="18"/>
            </w:rPr>
          </w:r>
        </w:p>
      </w:tc>
      <w:tc>
        <w:tcPr>
          <w:tcW w:type="dxa" w:w="4032"/>
          <w:shd w:fill="102736" w:val="clear"/>
          <w:tcMar>
            <w:top w:w="70" w:type="dxa"/>
            <w:start w:w="130" w:type="dxa"/>
            <w:bottom w:w="70" w:type="dxa"/>
            <w:end w:w="130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8"/>
            </w:rPr>
            <w:t>REPORTE DE QA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42D3D"/>
      <w:sz w:val="19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73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59BB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2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736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Data 90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