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ptos" w:hAnsi="Aptos"/>
          <w:b/>
          <w:i w:val="0"/>
          <w:color w:val="08A9C5"/>
          <w:sz w:val="17"/>
        </w:rPr>
        <w:t>DATA90  /  CALIDAD DE SOFTWARE</w:t>
      </w:r>
    </w:p>
    <w:p>
      <w:pPr>
        <w:pStyle w:val="Title"/>
        <w:spacing w:after="100"/>
      </w:pPr>
      <w:r>
        <w:t>Seguimiento QA de Data90</w:t>
      </w:r>
    </w:p>
    <w:p>
      <w:pPr>
        <w:pStyle w:val="Subtitle"/>
        <w:spacing w:after="300"/>
      </w:pPr>
      <w:r>
        <w:t>Incidencias recientes y estado de verificación</w:t>
      </w:r>
    </w:p>
    <w:tbl>
      <w:tblPr>
        <w:tblW w:type="auto" w:w="0"/>
        <w:jc w:val="center"/>
        <w:tblLook w:firstColumn="1" w:firstRow="1" w:lastColumn="0" w:lastRow="0" w:noHBand="0" w:noVBand="1" w:val="04A0"/>
      </w:tblPr>
      <w:tblGrid>
        <w:gridCol w:w="9835"/>
      </w:tblGrid>
      <w:tr>
        <w:trPr>
          <w:cantSplit/>
        </w:trPr>
        <w:tc>
          <w:tcPr>
            <w:tcW w:type="dxa" w:w="9835"/>
            <w:shd w:fill="EAF5F8"/>
            <w:tcMar>
              <w:top w:w="150" w:type="dxa"/>
              <w:start w:w="190" w:type="dxa"/>
              <w:bottom w:w="150" w:type="dxa"/>
              <w:end w:w="190" w:type="dxa"/>
            </w:tcMar>
            <w:tcBorders>
              <w:top w:val="single" w:sz="12" w:color="08A9C5"/>
              <w:left w:val="single" w:sz="12" w:color="08A9C5"/>
              <w:bottom w:val="single" w:sz="12" w:color="08A9C5"/>
              <w:right w:val="single" w:sz="12" w:color="08A9C5"/>
              <w:insideH w:val="single" w:sz="12" w:color="08A9C5"/>
              <w:insideV w:val="single" w:sz="12" w:color="08A9C5"/>
            </w:tcBorders>
          </w:tcPr>
          <w:p>
            <w:pPr>
              <w:spacing w:after="80"/>
            </w:pPr>
            <w:r>
              <w:rPr>
                <w:rFonts w:ascii="Aptos" w:hAnsi="Aptos"/>
                <w:b/>
                <w:i w:val="0"/>
                <w:color w:val="08A9C5"/>
                <w:sz w:val="20"/>
              </w:rPr>
              <w:t>DICTAMEN</w:t>
            </w:r>
          </w:p>
          <w:p>
            <w:pPr>
              <w:spacing w:after="0"/>
            </w:pPr>
            <w:r>
              <w:rPr>
                <w:rFonts w:ascii="Aptos" w:hAnsi="Aptos"/>
                <w:b w:val="0"/>
                <w:i w:val="0"/>
                <w:color w:val="1C2A36"/>
                <w:sz w:val="18"/>
              </w:rPr>
              <w:t>Hay mejoras visibles en la interfaz y se incorporó una selección de sincronización por competiciones con partidos en la fecha local. Sin embargo, el último registro programado terminó con código 1 y el registro manual no conserva un cierre global inequívoco. La eficacia del nuevo alcance selectivo todavía debe confirmarse con una ejecución posterior.</w:t>
            </w:r>
          </w:p>
        </w:tc>
      </w:tr>
    </w:tbl>
    <w:p>
      <w:pPr>
        <w:spacing w:after="0"/>
      </w:pPr>
    </w:p>
    <w:tbl>
      <w:tblPr>
        <w:tblW w:type="auto" w:w="0"/>
        <w:jc w:val="center"/>
        <w:tblLayout w:type="fixed"/>
        <w:tblLook w:firstColumn="1" w:firstRow="1" w:lastColumn="0" w:lastRow="0" w:noHBand="0" w:noVBand="1" w:val="04A0"/>
      </w:tblPr>
      <w:tblGrid>
        <w:gridCol w:w="3278"/>
        <w:gridCol w:w="3278"/>
        <w:gridCol w:w="3278"/>
      </w:tblGrid>
      <w:tr>
        <w:trPr>
          <w:cantSplit/>
        </w:trPr>
        <w:tc>
          <w:tcPr>
            <w:tcW w:type="dxa" w:w="3269"/>
            <w:shd w:fill="FCEBEC"/>
            <w:tcMar>
              <w:top w:w="130" w:type="dxa"/>
              <w:start w:w="145" w:type="dxa"/>
              <w:bottom w:w="130" w:type="dxa"/>
              <w:end w:w="145" w:type="dxa"/>
            </w:tcMar>
            <w:tcBorders>
              <w:top w:val="single" w:sz="8" w:color="9D2636"/>
              <w:left w:val="single" w:sz="8" w:color="9D2636"/>
              <w:bottom w:val="single" w:sz="8" w:color="9D2636"/>
              <w:right w:val="single" w:sz="8" w:color="9D2636"/>
              <w:insideH w:val="single" w:sz="8" w:color="9D2636"/>
              <w:insideV w:val="single" w:sz="8" w:color="9D2636"/>
            </w:tcBorders>
          </w:tcPr>
          <w:p>
            <w:pPr>
              <w:spacing w:after="40"/>
            </w:pPr>
            <w:r>
              <w:rPr>
                <w:rFonts w:ascii="Aptos" w:hAnsi="Aptos"/>
                <w:b/>
                <w:i w:val="0"/>
                <w:color w:val="9D2636"/>
                <w:sz w:val="40"/>
              </w:rPr>
              <w:t>01</w:t>
            </w:r>
          </w:p>
          <w:p>
            <w:pPr>
              <w:spacing w:after="40"/>
            </w:pPr>
            <w:r>
              <w:rPr>
                <w:rFonts w:ascii="Aptos" w:hAnsi="Aptos"/>
                <w:b/>
                <w:i w:val="0"/>
                <w:color w:val="102535"/>
                <w:sz w:val="16"/>
              </w:rPr>
              <w:t>RIESGO ALTO</w:t>
            </w:r>
          </w:p>
          <w:p>
            <w:pPr>
              <w:spacing w:after="0"/>
            </w:pPr>
            <w:r>
              <w:rPr>
                <w:rFonts w:ascii="Aptos" w:hAnsi="Aptos"/>
                <w:b w:val="0"/>
                <w:i w:val="0"/>
                <w:color w:val="536575"/>
                <w:sz w:val="16"/>
              </w:rPr>
              <w:t>Sincronización y cierre</w:t>
            </w:r>
          </w:p>
        </w:tc>
        <w:tc>
          <w:tcPr>
            <w:tcW w:type="dxa" w:w="3269"/>
            <w:shd w:fill="FFF3D8"/>
            <w:tcMar>
              <w:top w:w="130" w:type="dxa"/>
              <w:start w:w="145" w:type="dxa"/>
              <w:bottom w:w="130" w:type="dxa"/>
              <w:end w:w="145" w:type="dxa"/>
            </w:tcMar>
            <w:tcBorders>
              <w:top w:val="single" w:sz="8" w:color="9C6200"/>
              <w:left w:val="single" w:sz="8" w:color="9C6200"/>
              <w:bottom w:val="single" w:sz="8" w:color="9C6200"/>
              <w:right w:val="single" w:sz="8" w:color="9C6200"/>
              <w:insideH w:val="single" w:sz="8" w:color="9C6200"/>
              <w:insideV w:val="single" w:sz="8" w:color="9C6200"/>
            </w:tcBorders>
          </w:tcPr>
          <w:p>
            <w:pPr>
              <w:spacing w:after="40"/>
            </w:pPr>
            <w:r>
              <w:rPr>
                <w:rFonts w:ascii="Aptos" w:hAnsi="Aptos"/>
                <w:b/>
                <w:i w:val="0"/>
                <w:color w:val="9C6200"/>
                <w:sz w:val="40"/>
              </w:rPr>
              <w:t>04</w:t>
            </w:r>
          </w:p>
          <w:p>
            <w:pPr>
              <w:spacing w:after="40"/>
            </w:pPr>
            <w:r>
              <w:rPr>
                <w:rFonts w:ascii="Aptos" w:hAnsi="Aptos"/>
                <w:b/>
                <w:i w:val="0"/>
                <w:color w:val="102535"/>
                <w:sz w:val="16"/>
              </w:rPr>
              <w:t>RIESGO MEDIO</w:t>
            </w:r>
          </w:p>
          <w:p>
            <w:pPr>
              <w:spacing w:after="0"/>
            </w:pPr>
            <w:r>
              <w:rPr>
                <w:rFonts w:ascii="Aptos" w:hAnsi="Aptos"/>
                <w:b w:val="0"/>
                <w:i w:val="0"/>
                <w:color w:val="536575"/>
                <w:sz w:val="16"/>
              </w:rPr>
              <w:t>Rendimiento y experiencia</w:t>
            </w:r>
          </w:p>
        </w:tc>
        <w:tc>
          <w:tcPr>
            <w:tcW w:type="dxa" w:w="3269"/>
            <w:shd w:fill="F0F3F5"/>
            <w:tcMar>
              <w:top w:w="130" w:type="dxa"/>
              <w:start w:w="145" w:type="dxa"/>
              <w:bottom w:w="130" w:type="dxa"/>
              <w:end w:w="145" w:type="dxa"/>
            </w:tcMar>
            <w:tcBorders>
              <w:top w:val="single" w:sz="8" w:color="536575"/>
              <w:left w:val="single" w:sz="8" w:color="536575"/>
              <w:bottom w:val="single" w:sz="8" w:color="536575"/>
              <w:right w:val="single" w:sz="8" w:color="536575"/>
              <w:insideH w:val="single" w:sz="8" w:color="536575"/>
              <w:insideV w:val="single" w:sz="8" w:color="536575"/>
            </w:tcBorders>
          </w:tcPr>
          <w:p>
            <w:pPr>
              <w:spacing w:after="40"/>
            </w:pPr>
            <w:r>
              <w:rPr>
                <w:rFonts w:ascii="Aptos" w:hAnsi="Aptos"/>
                <w:b/>
                <w:i w:val="0"/>
                <w:color w:val="536575"/>
                <w:sz w:val="40"/>
              </w:rPr>
              <w:t>00</w:t>
            </w:r>
          </w:p>
          <w:p>
            <w:pPr>
              <w:spacing w:after="40"/>
            </w:pPr>
            <w:r>
              <w:rPr>
                <w:rFonts w:ascii="Aptos" w:hAnsi="Aptos"/>
                <w:b/>
                <w:i w:val="0"/>
                <w:color w:val="102535"/>
                <w:sz w:val="16"/>
              </w:rPr>
              <w:t>RIESGO DÉBIL</w:t>
            </w:r>
          </w:p>
          <w:p>
            <w:pPr>
              <w:spacing w:after="0"/>
            </w:pPr>
            <w:r>
              <w:rPr>
                <w:rFonts w:ascii="Aptos" w:hAnsi="Aptos"/>
                <w:b w:val="0"/>
                <w:i w:val="0"/>
                <w:color w:val="536575"/>
                <w:sz w:val="16"/>
              </w:rPr>
              <w:t>Sin casos nuevos confirmados</w:t>
            </w:r>
          </w:p>
        </w:tc>
      </w:tr>
    </w:tbl>
    <w:p>
      <w:pPr>
        <w:spacing w:after="0"/>
      </w:pPr>
    </w:p>
    <w:p>
      <w:pPr>
        <w:pStyle w:val="Heading1"/>
        <w:keepNext/>
      </w:pPr>
      <w:r>
        <w:t>Conclusión ejecutiva</w:t>
      </w:r>
    </w:p>
    <w:p>
      <w:r>
        <w:t>El control reciente deja cinco casos nuevos: uno de riesgo alto, vinculado a la confiabilidad del cierre de sincronización, y cuatro de riesgo medio, relacionados con duración y trazabilidad del alcance, exportación HTML, presentación del calendario y prioridad del partido destacado. No se agregan casos de riesgo débil sin evidencia suficiente.</w:t>
      </w:r>
    </w:p>
    <w:p>
      <w:r>
        <w:t>La interfaz muestra correcciones posteriores a varios defectos visuales. Eso no equivale a una validación completa del HTML recién exportado, de todos los tamaños de pantalla ni de la regla de prioridad para cada combinación de partidos.</w:t>
      </w:r>
    </w:p>
    <w:p>
      <w:pPr>
        <w:pStyle w:val="Heading2"/>
        <w:keepNext/>
      </w:pPr>
      <w:r>
        <w:t>Alcance de esta actualización</w:t>
      </w:r>
    </w:p>
    <w:p>
      <w:pPr>
        <w:pStyle w:val="ListBullet"/>
        <w:spacing w:after="60"/>
        <w:ind w:left="288" w:hanging="173"/>
      </w:pPr>
      <w:r>
        <w:rPr>
          <w:rFonts w:ascii="Aptos" w:hAnsi="Aptos"/>
          <w:b w:val="0"/>
          <w:i w:val="0"/>
          <w:color w:val="1C2A36"/>
          <w:sz w:val="18"/>
        </w:rPr>
        <w:t>Revisión de los registros local y programado, código de sincronización y capturas disponibles.</w:t>
      </w:r>
    </w:p>
    <w:p>
      <w:pPr>
        <w:pStyle w:val="ListBullet"/>
        <w:spacing w:after="60"/>
        <w:ind w:left="288" w:hanging="173"/>
      </w:pPr>
      <w:r>
        <w:rPr>
          <w:rFonts w:ascii="Aptos" w:hAnsi="Aptos"/>
          <w:b w:val="0"/>
          <w:i w:val="0"/>
          <w:color w:val="1C2A36"/>
          <w:sz w:val="18"/>
        </w:rPr>
        <w:t>Las capturas de interfaz se recortaron para enfocar el producto y ocultar la barra de direcciones.</w:t>
      </w:r>
    </w:p>
    <w:p>
      <w:pPr>
        <w:pStyle w:val="ListBullet"/>
        <w:spacing w:after="60"/>
        <w:ind w:left="288" w:hanging="173"/>
      </w:pPr>
      <w:r>
        <w:rPr>
          <w:rFonts w:ascii="Aptos" w:hAnsi="Aptos"/>
          <w:b w:val="0"/>
          <w:i w:val="0"/>
          <w:color w:val="1C2A36"/>
          <w:sz w:val="18"/>
        </w:rPr>
        <w:t>No se inició una sincronización, no se consultó la base de datos ni se ejecutaron pruebas automáticas para este informe.</w:t>
      </w:r>
    </w:p>
    <w:p>
      <w:pPr>
        <w:pStyle w:val="ListBullet"/>
        <w:spacing w:after="60"/>
        <w:ind w:left="288" w:hanging="173"/>
      </w:pPr>
      <w:r>
        <w:rPr>
          <w:rFonts w:ascii="Aptos" w:hAnsi="Aptos"/>
          <w:b w:val="0"/>
          <w:i w:val="0"/>
          <w:color w:val="1C2A36"/>
          <w:sz w:val="18"/>
        </w:rPr>
        <w:t>Los cambios en código se presentan como implementados, no como validados, cuando falta evidencia de una ejecución posterior.</w:t>
      </w:r>
    </w:p>
    <w:p>
      <w:r>
        <w:br w:type="page"/>
      </w:r>
    </w:p>
    <w:p>
      <w:pPr>
        <w:pStyle w:val="Heading1"/>
        <w:keepNext/>
      </w:pPr>
      <w:r>
        <w:t>Riesgo alto</w:t>
      </w:r>
    </w:p>
    <w:tbl>
      <w:tblPr>
        <w:tblW w:type="auto" w:w="0"/>
        <w:jc w:val="center"/>
        <w:tblLayout w:type="fixed"/>
        <w:tblLook w:firstColumn="1" w:firstRow="1" w:lastColumn="0" w:lastRow="0" w:noHBand="0" w:noVBand="1" w:val="04A0"/>
      </w:tblPr>
      <w:tblGrid>
        <w:gridCol w:w="7344"/>
        <w:gridCol w:w="2448"/>
      </w:tblGrid>
      <w:tr>
        <w:trPr>
          <w:cantSplit/>
        </w:trPr>
        <w:tc>
          <w:tcPr>
            <w:tcW w:type="dxa" w:w="7344"/>
            <w:shd w:fill="FCEBEC"/>
            <w:tcMar>
              <w:top w:w="120" w:type="dxa"/>
              <w:start w:w="145" w:type="dxa"/>
              <w:bottom w:w="120" w:type="dxa"/>
              <w:end w:w="145" w:type="dxa"/>
            </w:tcMar>
            <w:tcBorders>
              <w:top w:val="single" w:sz="8" w:color="9D2636"/>
              <w:left w:val="single" w:sz="8" w:color="9D2636"/>
              <w:bottom w:val="single" w:sz="8" w:color="9D2636"/>
              <w:right w:val="single" w:sz="8" w:color="9D2636"/>
              <w:insideH w:val="single" w:sz="8" w:color="9D2636"/>
              <w:insideV w:val="single" w:sz="8" w:color="9D2636"/>
            </w:tcBorders>
            <w:vAlign w:val="center"/>
          </w:tcPr>
          <w:p>
            <w:pPr>
              <w:spacing w:after="40"/>
            </w:pPr>
            <w:r>
              <w:rPr>
                <w:rFonts w:ascii="Aptos" w:hAnsi="Aptos"/>
                <w:b/>
                <w:i w:val="0"/>
                <w:color w:val="9D2636"/>
                <w:sz w:val="18"/>
              </w:rPr>
              <w:t>D90-QA-042  ·  RIESGO ALTO</w:t>
            </w:r>
            <w:r>
              <w:rPr>
                <w:rFonts w:ascii="Aptos" w:hAnsi="Aptos"/>
                <w:b/>
                <w:i w:val="0"/>
                <w:color w:val="9D2636"/>
                <w:sz w:val="18"/>
              </w:rPr>
            </w:r>
          </w:p>
          <w:p>
            <w:pPr>
              <w:spacing w:after="0"/>
            </w:pPr>
            <w:r>
              <w:rPr>
                <w:rFonts w:ascii="Aptos" w:hAnsi="Aptos"/>
                <w:b/>
                <w:i w:val="0"/>
                <w:color w:val="102535"/>
                <w:sz w:val="22"/>
              </w:rPr>
              <w:t>La sincronización programada devuelve error y el cierre manual no queda resumido</w:t>
            </w:r>
          </w:p>
        </w:tc>
        <w:tc>
          <w:tcPr>
            <w:tcW w:type="dxa" w:w="2448"/>
            <w:shd w:fill="FCEBEC"/>
            <w:tcMar>
              <w:top w:w="120" w:type="dxa"/>
              <w:start w:w="145" w:type="dxa"/>
              <w:bottom w:w="120" w:type="dxa"/>
              <w:end w:w="145" w:type="dxa"/>
            </w:tcMar>
            <w:tcBorders>
              <w:top w:val="single" w:sz="8" w:color="9D2636"/>
              <w:left w:val="single" w:sz="8" w:color="9D2636"/>
              <w:bottom w:val="single" w:sz="8" w:color="9D2636"/>
              <w:right w:val="single" w:sz="8" w:color="9D2636"/>
              <w:insideH w:val="single" w:sz="8" w:color="9D2636"/>
              <w:insideV w:val="single" w:sz="8" w:color="9D2636"/>
            </w:tcBorders>
            <w:vAlign w:val="center"/>
          </w:tcPr>
          <w:p>
            <w:pPr>
              <w:spacing w:after="0"/>
              <w:jc w:val="center"/>
            </w:pPr>
            <w:r>
              <w:rPr>
                <w:rFonts w:ascii="Aptos" w:hAnsi="Aptos"/>
                <w:b/>
                <w:i w:val="0"/>
                <w:color w:val="9D2636"/>
                <w:sz w:val="16"/>
              </w:rPr>
              <w:t>ABIERTO</w:t>
            </w:r>
          </w:p>
        </w:tc>
      </w:tr>
    </w:tbl>
    <w:p>
      <w:pPr>
        <w:spacing w:after="0"/>
      </w:pPr>
    </w:p>
    <w:p>
      <w:pPr>
        <w:spacing w:after="60"/>
      </w:pPr>
      <w:r>
        <w:rPr>
          <w:rFonts w:ascii="Aptos" w:hAnsi="Aptos"/>
          <w:b/>
          <w:i w:val="0"/>
          <w:color w:val="102535"/>
          <w:sz w:val="18"/>
        </w:rPr>
        <w:t xml:space="preserve">Síntoma  </w:t>
      </w:r>
      <w:r>
        <w:rPr>
          <w:rFonts w:ascii="Aptos" w:hAnsi="Aptos"/>
          <w:b w:val="0"/>
          <w:i w:val="0"/>
          <w:color w:val="1C2A36"/>
          <w:sz w:val="18"/>
        </w:rPr>
        <w:t>La última ejecución programada terminó con código 1 después de registrar un conflicto de acceso al archivo de log. En la ejecución manual más reciente, las fases publicadas informan cero errores y la fase de Wikidata terminó con código 0, pero el archivo no registra un resultado global final.</w:t>
      </w:r>
    </w:p>
    <w:p>
      <w:pPr>
        <w:spacing w:after="60"/>
      </w:pPr>
      <w:r>
        <w:rPr>
          <w:rFonts w:ascii="Aptos" w:hAnsi="Aptos"/>
          <w:b/>
          <w:i w:val="0"/>
          <w:color w:val="102535"/>
          <w:sz w:val="18"/>
        </w:rPr>
        <w:t xml:space="preserve">Impacto  </w:t>
      </w:r>
      <w:r>
        <w:rPr>
          <w:rFonts w:ascii="Aptos" w:hAnsi="Aptos"/>
          <w:b w:val="0"/>
          <w:i w:val="0"/>
          <w:color w:val="1C2A36"/>
          <w:sz w:val="18"/>
        </w:rPr>
        <w:t>El usuario no puede distinguir de forma confiable una actualización completa de una actualización parcial o de un fallo del mecanismo de registro. Un código distinto de cero puede marcar como fallida una corrida cuyas fases de datos sí finalizaron.</w:t>
      </w:r>
    </w:p>
    <w:p>
      <w:pPr>
        <w:spacing w:after="60"/>
      </w:pPr>
      <w:r>
        <w:rPr>
          <w:rFonts w:ascii="Aptos" w:hAnsi="Aptos"/>
          <w:b/>
          <w:i w:val="0"/>
          <w:color w:val="102535"/>
          <w:sz w:val="18"/>
        </w:rPr>
        <w:t xml:space="preserve">Evidencia  </w:t>
      </w:r>
      <w:r>
        <w:rPr>
          <w:rFonts w:ascii="Aptos" w:hAnsi="Aptos"/>
          <w:b w:val="0"/>
          <w:i w:val="0"/>
          <w:color w:val="1C2A36"/>
          <w:sz w:val="18"/>
        </w:rPr>
        <w:t>scheduled_sync.log registra que no se pudo acceder al archivo porque estaba siendo utilizado por otro proceso y termina con código 1. manual_sync.log contiene las fases y finaliza con “Wikidata profile sync exit 0”, sin un código final global.</w:t>
      </w:r>
    </w:p>
    <w:p>
      <w:pPr>
        <w:spacing w:after="60"/>
      </w:pPr>
      <w:r>
        <w:rPr>
          <w:rFonts w:ascii="Aptos" w:hAnsi="Aptos"/>
          <w:b/>
          <w:i w:val="0"/>
          <w:color w:val="102535"/>
          <w:sz w:val="18"/>
        </w:rPr>
        <w:t xml:space="preserve">Estado de implementación  </w:t>
      </w:r>
      <w:r>
        <w:rPr>
          <w:rFonts w:ascii="Aptos" w:hAnsi="Aptos"/>
          <w:b w:val="0"/>
          <w:i w:val="0"/>
          <w:color w:val="1C2A36"/>
          <w:sz w:val="18"/>
        </w:rPr>
        <w:t>El código ya incluye bloqueo de proceso y reintentos de fases transitorias. No se confirmó todavía que estas medidas eliminen el conflicto en la tarea programada.</w:t>
      </w:r>
    </w:p>
    <w:p>
      <w:pPr>
        <w:spacing w:after="60"/>
      </w:pPr>
      <w:r>
        <w:rPr>
          <w:rFonts w:ascii="Aptos" w:hAnsi="Aptos"/>
          <w:b/>
          <w:i w:val="0"/>
          <w:color w:val="102535"/>
          <w:sz w:val="18"/>
        </w:rPr>
        <w:t xml:space="preserve">Criterio de cierre  </w:t>
      </w:r>
      <w:r>
        <w:rPr>
          <w:rFonts w:ascii="Aptos" w:hAnsi="Aptos"/>
          <w:b w:val="0"/>
          <w:i w:val="0"/>
          <w:color w:val="1C2A36"/>
          <w:sz w:val="18"/>
        </w:rPr>
        <w:t>Una corrida programada debe producir un único log íntegro, un resumen global con inicio, fin y código final, sin conflicto de escritura. La interfaz y el Programador de tareas deben mostrar el mismo resultado.</w:t>
      </w:r>
    </w:p>
    <w:tbl>
      <w:tblPr>
        <w:tblW w:type="dxa" w:w="9648"/>
        <w:jc w:val="left"/>
        <w:tblLayout w:type="fixed"/>
        <w:tblLook w:firstColumn="1" w:firstRow="1" w:lastColumn="0" w:lastRow="0" w:noHBand="0" w:noVBand="1" w:val="04A0"/>
      </w:tblPr>
      <w:tblGrid>
        <w:gridCol w:w="2016"/>
        <w:gridCol w:w="7632"/>
      </w:tblGrid>
      <w:tr>
        <w:trPr>
          <w:tblHeader w:val="true"/>
          <w:cantSplit/>
        </w:trPr>
        <w:tc>
          <w:tcPr>
            <w:tcW w:type="dxa" w:w="2016"/>
            <w:shd w:fill="102535"/>
            <w:tcMar>
              <w:top w:w="100" w:type="dxa"/>
              <w:start w:w="120" w:type="dxa"/>
              <w:bottom w:w="100" w:type="dxa"/>
              <w:end w:w="120" w:type="dxa"/>
            </w:tcMar>
          </w:tcPr>
          <w:p>
            <w:r>
              <w:rPr>
                <w:rFonts w:ascii="Aptos" w:hAnsi="Aptos"/>
                <w:b/>
                <w:color w:val="FFFFFF"/>
                <w:sz w:val="16"/>
              </w:rPr>
              <w:t>REGISTRO</w:t>
            </w:r>
          </w:p>
        </w:tc>
        <w:tc>
          <w:tcPr>
            <w:tcW w:type="dxa" w:w="7632"/>
            <w:shd w:fill="102535"/>
            <w:tcMar>
              <w:top w:w="100" w:type="dxa"/>
              <w:start w:w="120" w:type="dxa"/>
              <w:bottom w:w="100" w:type="dxa"/>
              <w:end w:w="120" w:type="dxa"/>
            </w:tcMar>
          </w:tcPr>
          <w:p>
            <w:r>
              <w:rPr>
                <w:rFonts w:ascii="Aptos" w:hAnsi="Aptos"/>
                <w:b/>
                <w:color w:val="FFFFFF"/>
                <w:sz w:val="16"/>
              </w:rPr>
              <w:t>HALLAZGO OBSERVADO</w:t>
            </w:r>
          </w:p>
        </w:tc>
      </w:tr>
      <w:tr>
        <w:trPr>
          <w:cantSplit/>
          <w:cantSplit/>
        </w:trPr>
        <w:tc>
          <w:tcPr>
            <w:tcW w:type="dxa" w:w="2016"/>
            <w:shd w:fill="F5F8FA"/>
            <w:tcMar>
              <w:top w:w="90" w:type="dxa"/>
              <w:start w:w="120" w:type="dxa"/>
              <w:bottom w:w="90" w:type="dxa"/>
              <w:end w:w="120" w:type="dxa"/>
            </w:tcMar>
            <w:tcBorders>
              <w:top w:val="single" w:sz="6" w:color="D7E1E7"/>
              <w:left w:val="single" w:sz="6" w:color="D7E1E7"/>
              <w:bottom w:val="single" w:sz="6" w:color="D7E1E7"/>
              <w:right w:val="single" w:sz="6" w:color="D7E1E7"/>
              <w:insideH w:val="single" w:sz="6" w:color="D7E1E7"/>
              <w:insideV w:val="single" w:sz="6" w:color="D7E1E7"/>
            </w:tcBorders>
          </w:tcPr>
          <w:p>
            <w:pPr>
              <w:spacing w:after="0"/>
            </w:pPr>
            <w:r>
              <w:rPr>
                <w:rFonts w:ascii="Aptos" w:hAnsi="Aptos"/>
                <w:b/>
                <w:color w:val="102535"/>
                <w:sz w:val="17"/>
              </w:rPr>
              <w:t>Programada</w:t>
            </w:r>
          </w:p>
        </w:tc>
        <w:tc>
          <w:tcPr>
            <w:tcW w:type="dxa" w:w="7632"/>
            <w:shd w:fill="F5F8FA"/>
            <w:tcMar>
              <w:top w:w="90" w:type="dxa"/>
              <w:start w:w="120" w:type="dxa"/>
              <w:bottom w:w="90" w:type="dxa"/>
              <w:end w:w="120" w:type="dxa"/>
            </w:tcMar>
            <w:tcBorders>
              <w:top w:val="single" w:sz="6" w:color="D7E1E7"/>
              <w:left w:val="single" w:sz="6" w:color="D7E1E7"/>
              <w:bottom w:val="single" w:sz="6" w:color="D7E1E7"/>
              <w:right w:val="single" w:sz="6" w:color="D7E1E7"/>
              <w:insideH w:val="single" w:sz="6" w:color="D7E1E7"/>
              <w:insideV w:val="single" w:sz="6" w:color="D7E1E7"/>
            </w:tcBorders>
          </w:tcPr>
          <w:p>
            <w:pPr>
              <w:spacing w:after="0"/>
            </w:pPr>
            <w:r>
              <w:rPr>
                <w:rFonts w:ascii="Aptos" w:hAnsi="Aptos"/>
                <w:color w:val="1C2A36"/>
                <w:sz w:val="17"/>
              </w:rPr>
              <w:t>Fases de sincronización registradas; cierre final con código 1 y aviso de archivo de log ocupado.</w:t>
            </w:r>
          </w:p>
        </w:tc>
      </w:tr>
      <w:tr>
        <w:trPr>
          <w:cantSplit/>
          <w:cantSplit/>
        </w:trPr>
        <w:tc>
          <w:tcPr>
            <w:tcW w:type="dxa" w:w="2016"/>
            <w:shd w:fill="FFFFFF"/>
            <w:tcMar>
              <w:top w:w="90" w:type="dxa"/>
              <w:start w:w="120" w:type="dxa"/>
              <w:bottom w:w="90" w:type="dxa"/>
              <w:end w:w="120" w:type="dxa"/>
            </w:tcMar>
            <w:tcBorders>
              <w:top w:val="single" w:sz="6" w:color="D7E1E7"/>
              <w:left w:val="single" w:sz="6" w:color="D7E1E7"/>
              <w:bottom w:val="single" w:sz="6" w:color="D7E1E7"/>
              <w:right w:val="single" w:sz="6" w:color="D7E1E7"/>
              <w:insideH w:val="single" w:sz="6" w:color="D7E1E7"/>
              <w:insideV w:val="single" w:sz="6" w:color="D7E1E7"/>
            </w:tcBorders>
          </w:tcPr>
          <w:p>
            <w:pPr>
              <w:spacing w:after="0"/>
            </w:pPr>
            <w:r>
              <w:rPr>
                <w:rFonts w:ascii="Aptos" w:hAnsi="Aptos"/>
                <w:b/>
                <w:color w:val="102535"/>
                <w:sz w:val="17"/>
              </w:rPr>
              <w:t>Manual</w:t>
            </w:r>
          </w:p>
        </w:tc>
        <w:tc>
          <w:tcPr>
            <w:tcW w:type="dxa" w:w="7632"/>
            <w:shd w:fill="FFFFFF"/>
            <w:tcMar>
              <w:top w:w="90" w:type="dxa"/>
              <w:start w:w="120" w:type="dxa"/>
              <w:bottom w:w="90" w:type="dxa"/>
              <w:end w:w="120" w:type="dxa"/>
            </w:tcMar>
            <w:tcBorders>
              <w:top w:val="single" w:sz="6" w:color="D7E1E7"/>
              <w:left w:val="single" w:sz="6" w:color="D7E1E7"/>
              <w:bottom w:val="single" w:sz="6" w:color="D7E1E7"/>
              <w:right w:val="single" w:sz="6" w:color="D7E1E7"/>
              <w:insideH w:val="single" w:sz="6" w:color="D7E1E7"/>
              <w:insideV w:val="single" w:sz="6" w:color="D7E1E7"/>
            </w:tcBorders>
          </w:tcPr>
          <w:p>
            <w:pPr>
              <w:spacing w:after="0"/>
            </w:pPr>
            <w:r>
              <w:rPr>
                <w:rFonts w:ascii="Aptos" w:hAnsi="Aptos"/>
                <w:color w:val="1C2A36"/>
                <w:sz w:val="17"/>
              </w:rPr>
              <w:t>Fases con 0 errores informados; Wikidata termina con código 0; no consta código final de toda la corrida.</w:t>
            </w:r>
          </w:p>
        </w:tc>
      </w:tr>
      <w:tr>
        <w:trPr>
          <w:cantSplit/>
          <w:cantSplit/>
        </w:trPr>
        <w:tc>
          <w:tcPr>
            <w:tcW w:type="dxa" w:w="2016"/>
            <w:shd w:fill="F5F8FA"/>
            <w:tcMar>
              <w:top w:w="90" w:type="dxa"/>
              <w:start w:w="120" w:type="dxa"/>
              <w:bottom w:w="90" w:type="dxa"/>
              <w:end w:w="120" w:type="dxa"/>
            </w:tcMar>
            <w:tcBorders>
              <w:top w:val="single" w:sz="6" w:color="D7E1E7"/>
              <w:left w:val="single" w:sz="6" w:color="D7E1E7"/>
              <w:bottom w:val="single" w:sz="6" w:color="D7E1E7"/>
              <w:right w:val="single" w:sz="6" w:color="D7E1E7"/>
              <w:insideH w:val="single" w:sz="6" w:color="D7E1E7"/>
              <w:insideV w:val="single" w:sz="6" w:color="D7E1E7"/>
            </w:tcBorders>
          </w:tcPr>
          <w:p>
            <w:pPr>
              <w:spacing w:after="0"/>
            </w:pPr>
            <w:r>
              <w:rPr>
                <w:rFonts w:ascii="Aptos" w:hAnsi="Aptos"/>
                <w:b/>
                <w:color w:val="102535"/>
                <w:sz w:val="17"/>
              </w:rPr>
              <w:t>Siguiente control</w:t>
            </w:r>
          </w:p>
        </w:tc>
        <w:tc>
          <w:tcPr>
            <w:tcW w:type="dxa" w:w="7632"/>
            <w:shd w:fill="F5F8FA"/>
            <w:tcMar>
              <w:top w:w="90" w:type="dxa"/>
              <w:start w:w="120" w:type="dxa"/>
              <w:bottom w:w="90" w:type="dxa"/>
              <w:end w:w="120" w:type="dxa"/>
            </w:tcMar>
            <w:tcBorders>
              <w:top w:val="single" w:sz="6" w:color="D7E1E7"/>
              <w:left w:val="single" w:sz="6" w:color="D7E1E7"/>
              <w:bottom w:val="single" w:sz="6" w:color="D7E1E7"/>
              <w:right w:val="single" w:sz="6" w:color="D7E1E7"/>
              <w:insideH w:val="single" w:sz="6" w:color="D7E1E7"/>
              <w:insideV w:val="single" w:sz="6" w:color="D7E1E7"/>
            </w:tcBorders>
          </w:tcPr>
          <w:p>
            <w:pPr>
              <w:spacing w:after="0"/>
            </w:pPr>
            <w:r>
              <w:rPr>
                <w:rFonts w:ascii="Aptos" w:hAnsi="Aptos"/>
                <w:color w:val="1C2A36"/>
                <w:sz w:val="17"/>
              </w:rPr>
              <w:t>Revisar una ejecución programada completa y comparar el resumen del log con el estado mostrado por la aplicación.</w:t>
            </w:r>
          </w:p>
        </w:tc>
      </w:tr>
    </w:tbl>
    <w:p>
      <w:pPr>
        <w:spacing w:after="0"/>
      </w:pPr>
    </w:p>
    <w:p>
      <w:r>
        <w:br w:type="page"/>
      </w:r>
    </w:p>
    <w:p>
      <w:pPr>
        <w:pStyle w:val="Heading1"/>
        <w:keepNext/>
      </w:pPr>
      <w:r>
        <w:t>Riesgo medio</w:t>
      </w:r>
    </w:p>
    <w:tbl>
      <w:tblPr>
        <w:tblW w:type="auto" w:w="0"/>
        <w:jc w:val="center"/>
        <w:tblLayout w:type="fixed"/>
        <w:tblLook w:firstColumn="1" w:firstRow="1" w:lastColumn="0" w:lastRow="0" w:noHBand="0" w:noVBand="1" w:val="04A0"/>
      </w:tblPr>
      <w:tblGrid>
        <w:gridCol w:w="7344"/>
        <w:gridCol w:w="2448"/>
      </w:tblGrid>
      <w:tr>
        <w:trPr>
          <w:cantSplit/>
        </w:trPr>
        <w:tc>
          <w:tcPr>
            <w:tcW w:type="dxa" w:w="7344"/>
            <w:shd w:fill="FFF3D8"/>
            <w:tcMar>
              <w:top w:w="120" w:type="dxa"/>
              <w:start w:w="145" w:type="dxa"/>
              <w:bottom w:w="120" w:type="dxa"/>
              <w:end w:w="145" w:type="dxa"/>
            </w:tcMar>
            <w:tcBorders>
              <w:top w:val="single" w:sz="8" w:color="9C6200"/>
              <w:left w:val="single" w:sz="8" w:color="9C6200"/>
              <w:bottom w:val="single" w:sz="8" w:color="9C6200"/>
              <w:right w:val="single" w:sz="8" w:color="9C6200"/>
              <w:insideH w:val="single" w:sz="8" w:color="9C6200"/>
              <w:insideV w:val="single" w:sz="8" w:color="9C6200"/>
            </w:tcBorders>
            <w:vAlign w:val="center"/>
          </w:tcPr>
          <w:p>
            <w:pPr>
              <w:spacing w:after="40"/>
            </w:pPr>
            <w:r>
              <w:rPr>
                <w:rFonts w:ascii="Aptos" w:hAnsi="Aptos"/>
                <w:b/>
                <w:i w:val="0"/>
                <w:color w:val="9C6200"/>
                <w:sz w:val="18"/>
              </w:rPr>
              <w:t>D90-QA-043  ·  RIESGO MEDIO</w:t>
            </w:r>
            <w:r>
              <w:rPr>
                <w:rFonts w:ascii="Aptos" w:hAnsi="Aptos"/>
                <w:b/>
                <w:i w:val="0"/>
                <w:color w:val="9C6200"/>
                <w:sz w:val="18"/>
              </w:rPr>
            </w:r>
          </w:p>
          <w:p>
            <w:pPr>
              <w:spacing w:after="0"/>
            </w:pPr>
            <w:r>
              <w:rPr>
                <w:rFonts w:ascii="Aptos" w:hAnsi="Aptos"/>
                <w:b/>
                <w:i w:val="0"/>
                <w:color w:val="102535"/>
                <w:sz w:val="22"/>
              </w:rPr>
              <w:t>La actualización completa sigue siendo extensa y no deja trazado el alcance diario</w:t>
            </w:r>
          </w:p>
        </w:tc>
        <w:tc>
          <w:tcPr>
            <w:tcW w:type="dxa" w:w="2448"/>
            <w:shd w:fill="FFF3D8"/>
            <w:tcMar>
              <w:top w:w="120" w:type="dxa"/>
              <w:start w:w="145" w:type="dxa"/>
              <w:bottom w:w="120" w:type="dxa"/>
              <w:end w:w="145" w:type="dxa"/>
            </w:tcMar>
            <w:tcBorders>
              <w:top w:val="single" w:sz="8" w:color="9C6200"/>
              <w:left w:val="single" w:sz="8" w:color="9C6200"/>
              <w:bottom w:val="single" w:sz="8" w:color="9C6200"/>
              <w:right w:val="single" w:sz="8" w:color="9C6200"/>
              <w:insideH w:val="single" w:sz="8" w:color="9C6200"/>
              <w:insideV w:val="single" w:sz="8" w:color="9C6200"/>
            </w:tcBorders>
            <w:vAlign w:val="center"/>
          </w:tcPr>
          <w:p>
            <w:pPr>
              <w:spacing w:after="0"/>
              <w:jc w:val="center"/>
            </w:pPr>
            <w:r>
              <w:rPr>
                <w:rFonts w:ascii="Aptos" w:hAnsi="Aptos"/>
                <w:b/>
                <w:i w:val="0"/>
                <w:color w:val="9C6200"/>
                <w:sz w:val="16"/>
              </w:rPr>
              <w:t>PENDIENTE DE VALIDAR</w:t>
            </w:r>
          </w:p>
        </w:tc>
      </w:tr>
    </w:tbl>
    <w:p>
      <w:pPr>
        <w:spacing w:after="0"/>
      </w:pPr>
    </w:p>
    <w:p>
      <w:pPr>
        <w:spacing w:after="60"/>
      </w:pPr>
      <w:r>
        <w:rPr>
          <w:rFonts w:ascii="Aptos" w:hAnsi="Aptos"/>
          <w:b/>
          <w:i w:val="0"/>
          <w:color w:val="102535"/>
          <w:sz w:val="18"/>
        </w:rPr>
        <w:t xml:space="preserve">Síntoma  </w:t>
      </w:r>
      <w:r>
        <w:rPr>
          <w:rFonts w:ascii="Aptos" w:hAnsi="Aptos"/>
          <w:b w:val="0"/>
          <w:i w:val="0"/>
          <w:color w:val="1C2A36"/>
          <w:sz w:val="18"/>
        </w:rPr>
        <w:t>La ejecución manual observada duró aproximadamente 81 minutos aunque el usuario esperaba una actualización acotada a los pocos partidos del día.</w:t>
      </w:r>
    </w:p>
    <w:p>
      <w:pPr>
        <w:spacing w:after="60"/>
      </w:pPr>
      <w:r>
        <w:rPr>
          <w:rFonts w:ascii="Aptos" w:hAnsi="Aptos"/>
          <w:b/>
          <w:i w:val="0"/>
          <w:color w:val="102535"/>
          <w:sz w:val="18"/>
        </w:rPr>
        <w:t xml:space="preserve">Datos del registro  </w:t>
      </w:r>
      <w:r>
        <w:rPr>
          <w:rFonts w:ascii="Aptos" w:hAnsi="Aptos"/>
          <w:b w:val="0"/>
          <w:i w:val="0"/>
          <w:color w:val="1C2A36"/>
          <w:sz w:val="18"/>
        </w:rPr>
        <w:t>PitchAPI informó 2.894 solicitudes, 12.995 filas actualizadas y 850 registros sin asociación segura; el resumen presentó datos para ocho competiciones. Wikidata revisó 331 nombres con 378 solicitudes. No se registraron errores de proveedor en esas fases.</w:t>
      </w:r>
    </w:p>
    <w:p>
      <w:pPr>
        <w:spacing w:after="60"/>
      </w:pPr>
      <w:r>
        <w:rPr>
          <w:rFonts w:ascii="Aptos" w:hAnsi="Aptos"/>
          <w:b/>
          <w:i w:val="0"/>
          <w:color w:val="102535"/>
          <w:sz w:val="18"/>
        </w:rPr>
        <w:t xml:space="preserve">Impacto  </w:t>
      </w:r>
      <w:r>
        <w:rPr>
          <w:rFonts w:ascii="Aptos" w:hAnsi="Aptos"/>
          <w:b w:val="0"/>
          <w:i w:val="0"/>
          <w:color w:val="1C2A36"/>
          <w:sz w:val="18"/>
        </w:rPr>
        <w:t>Una actualización amplia consume tiempo y cuota aun cuando el cambio esperado pueda concentrarse en una o pocas competiciones. También dificulta saber si una fase quedó limitada al calendario del día o recorrió toda la temporada.</w:t>
      </w:r>
    </w:p>
    <w:p>
      <w:pPr>
        <w:spacing w:after="60"/>
      </w:pPr>
      <w:r>
        <w:rPr>
          <w:rFonts w:ascii="Aptos" w:hAnsi="Aptos"/>
          <w:b/>
          <w:i w:val="0"/>
          <w:color w:val="102535"/>
          <w:sz w:val="18"/>
        </w:rPr>
        <w:t xml:space="preserve">Cambio en el código  </w:t>
      </w:r>
      <w:r>
        <w:rPr>
          <w:rFonts w:ascii="Aptos" w:hAnsi="Aptos"/>
          <w:b w:val="0"/>
          <w:i w:val="0"/>
          <w:color w:val="1C2A36"/>
          <w:sz w:val="18"/>
        </w:rPr>
        <w:t>sync_daily.py ahora identifica las competiciones con partidos en la fecha local y pasa ese conjunto a las fases de perfiles y estadísticas. Se mantiene una lectura general del fixture para detectar cambios de calendario. El log manual revisado no expone la lista seleccionada, por lo que esta corrida no demuestra que el recorte haya sido efectivo.</w:t>
      </w:r>
    </w:p>
    <w:p>
      <w:pPr>
        <w:spacing w:after="60"/>
      </w:pPr>
      <w:r>
        <w:rPr>
          <w:rFonts w:ascii="Aptos" w:hAnsi="Aptos"/>
          <w:b/>
          <w:i w:val="0"/>
          <w:color w:val="102535"/>
          <w:sz w:val="18"/>
        </w:rPr>
        <w:t xml:space="preserve">Estado  </w:t>
      </w:r>
      <w:r>
        <w:rPr>
          <w:rFonts w:ascii="Aptos" w:hAnsi="Aptos"/>
          <w:b w:val="0"/>
          <w:i w:val="0"/>
          <w:color w:val="1C2A36"/>
          <w:sz w:val="18"/>
        </w:rPr>
        <w:t>Mitigación implementada; eficacia pendiente de la próxima corrida. No se atribuye la duración a un único proveedor porque el log no desglosa cuánto aportó cada fase al tiempo total.</w:t>
      </w:r>
    </w:p>
    <w:p>
      <w:pPr>
        <w:pStyle w:val="Heading2"/>
        <w:keepNext/>
      </w:pPr>
      <w:r>
        <w:t>Criterios de aceptación</w:t>
      </w:r>
    </w:p>
    <w:p>
      <w:pPr>
        <w:pStyle w:val="ListBullet"/>
        <w:spacing w:after="60"/>
        <w:ind w:left="288" w:hanging="173"/>
      </w:pPr>
      <w:r>
        <w:rPr>
          <w:rFonts w:ascii="Aptos" w:hAnsi="Aptos"/>
          <w:b w:val="0"/>
          <w:i w:val="0"/>
          <w:color w:val="1C2A36"/>
          <w:sz w:val="18"/>
        </w:rPr>
        <w:t>El log enumera las competiciones detectadas para la fecha local antes de consultar estadísticas.</w:t>
      </w:r>
    </w:p>
    <w:p>
      <w:pPr>
        <w:pStyle w:val="ListBullet"/>
        <w:spacing w:after="60"/>
        <w:ind w:left="288" w:hanging="173"/>
      </w:pPr>
      <w:r>
        <w:rPr>
          <w:rFonts w:ascii="Aptos" w:hAnsi="Aptos"/>
          <w:b w:val="0"/>
          <w:i w:val="0"/>
          <w:color w:val="1C2A36"/>
          <w:sz w:val="18"/>
        </w:rPr>
        <w:t>Las fases costosas de estadísticas y perfiles muestran solo esas competiciones; el calendario general conserva su actualización.</w:t>
      </w:r>
    </w:p>
    <w:p>
      <w:pPr>
        <w:pStyle w:val="ListBullet"/>
        <w:spacing w:after="60"/>
        <w:ind w:left="288" w:hanging="173"/>
      </w:pPr>
      <w:r>
        <w:rPr>
          <w:rFonts w:ascii="Aptos" w:hAnsi="Aptos"/>
          <w:b w:val="0"/>
          <w:i w:val="0"/>
          <w:color w:val="1C2A36"/>
          <w:sz w:val="18"/>
        </w:rPr>
        <w:t>Las cuotas agotadas se registran como parciales y continúan en otra ejecución sin reportarse como cobertura completa.</w:t>
      </w:r>
    </w:p>
    <w:p>
      <w:pPr>
        <w:pStyle w:val="ListBullet"/>
        <w:spacing w:after="60"/>
        <w:ind w:left="288" w:hanging="173"/>
      </w:pPr>
      <w:r>
        <w:rPr>
          <w:rFonts w:ascii="Aptos" w:hAnsi="Aptos"/>
          <w:b w:val="0"/>
          <w:i w:val="0"/>
          <w:color w:val="1C2A36"/>
          <w:sz w:val="18"/>
        </w:rPr>
        <w:t>Se informa la duración por fase, solicitudes, filas nuevas/actualizadas, omisiones y asociaciones no seguras.</w:t>
      </w:r>
    </w:p>
    <w:p>
      <w:r>
        <w:br w:type="page"/>
      </w:r>
    </w:p>
    <w:p>
      <w:pPr>
        <w:pStyle w:val="Heading1"/>
        <w:keepNext/>
      </w:pPr>
      <w:r>
        <w:t>Riesgo medio</w:t>
      </w:r>
    </w:p>
    <w:tbl>
      <w:tblPr>
        <w:tblW w:type="auto" w:w="0"/>
        <w:jc w:val="center"/>
        <w:tblLayout w:type="fixed"/>
        <w:tblLook w:firstColumn="1" w:firstRow="1" w:lastColumn="0" w:lastRow="0" w:noHBand="0" w:noVBand="1" w:val="04A0"/>
      </w:tblPr>
      <w:tblGrid>
        <w:gridCol w:w="7344"/>
        <w:gridCol w:w="2448"/>
      </w:tblGrid>
      <w:tr>
        <w:trPr>
          <w:cantSplit/>
        </w:trPr>
        <w:tc>
          <w:tcPr>
            <w:tcW w:type="dxa" w:w="7344"/>
            <w:shd w:fill="FFF3D8"/>
            <w:tcMar>
              <w:top w:w="120" w:type="dxa"/>
              <w:start w:w="145" w:type="dxa"/>
              <w:bottom w:w="120" w:type="dxa"/>
              <w:end w:w="145" w:type="dxa"/>
            </w:tcMar>
            <w:tcBorders>
              <w:top w:val="single" w:sz="8" w:color="9C6200"/>
              <w:left w:val="single" w:sz="8" w:color="9C6200"/>
              <w:bottom w:val="single" w:sz="8" w:color="9C6200"/>
              <w:right w:val="single" w:sz="8" w:color="9C6200"/>
              <w:insideH w:val="single" w:sz="8" w:color="9C6200"/>
              <w:insideV w:val="single" w:sz="8" w:color="9C6200"/>
            </w:tcBorders>
            <w:vAlign w:val="center"/>
          </w:tcPr>
          <w:p>
            <w:pPr>
              <w:spacing w:after="40"/>
            </w:pPr>
            <w:r>
              <w:rPr>
                <w:rFonts w:ascii="Aptos" w:hAnsi="Aptos"/>
                <w:b/>
                <w:i w:val="0"/>
                <w:color w:val="9C6200"/>
                <w:sz w:val="18"/>
              </w:rPr>
              <w:t>D90-QA-044  ·  RIESGO MEDIO</w:t>
            </w:r>
            <w:r>
              <w:rPr>
                <w:rFonts w:ascii="Aptos" w:hAnsi="Aptos"/>
                <w:b/>
                <w:i w:val="0"/>
                <w:color w:val="9C6200"/>
                <w:sz w:val="18"/>
              </w:rPr>
            </w:r>
          </w:p>
          <w:p>
            <w:pPr>
              <w:spacing w:after="0"/>
            </w:pPr>
            <w:r>
              <w:rPr>
                <w:rFonts w:ascii="Aptos" w:hAnsi="Aptos"/>
                <w:b/>
                <w:i w:val="0"/>
                <w:color w:val="102535"/>
                <w:sz w:val="22"/>
              </w:rPr>
              <w:t>La copia HTML descargable no cargó la vista o los estilos</w:t>
            </w:r>
          </w:p>
        </w:tc>
        <w:tc>
          <w:tcPr>
            <w:tcW w:type="dxa" w:w="2448"/>
            <w:shd w:fill="FFF3D8"/>
            <w:tcMar>
              <w:top w:w="120" w:type="dxa"/>
              <w:start w:w="145" w:type="dxa"/>
              <w:bottom w:w="120" w:type="dxa"/>
              <w:end w:w="145" w:type="dxa"/>
            </w:tcMar>
            <w:tcBorders>
              <w:top w:val="single" w:sz="8" w:color="9C6200"/>
              <w:left w:val="single" w:sz="8" w:color="9C6200"/>
              <w:bottom w:val="single" w:sz="8" w:color="9C6200"/>
              <w:right w:val="single" w:sz="8" w:color="9C6200"/>
              <w:insideH w:val="single" w:sz="8" w:color="9C6200"/>
              <w:insideV w:val="single" w:sz="8" w:color="9C6200"/>
            </w:tcBorders>
            <w:vAlign w:val="center"/>
          </w:tcPr>
          <w:p>
            <w:pPr>
              <w:spacing w:after="0"/>
              <w:jc w:val="center"/>
            </w:pPr>
            <w:r>
              <w:rPr>
                <w:rFonts w:ascii="Aptos" w:hAnsi="Aptos"/>
                <w:b/>
                <w:i w:val="0"/>
                <w:color w:val="9C6200"/>
                <w:sz w:val="16"/>
              </w:rPr>
              <w:t>PARCIALMENTE CORREGIDO</w:t>
            </w:r>
          </w:p>
        </w:tc>
      </w:tr>
    </w:tbl>
    <w:p>
      <w:pPr>
        <w:spacing w:after="0"/>
      </w:pPr>
    </w:p>
    <w:p>
      <w:pPr>
        <w:spacing w:after="60"/>
      </w:pPr>
      <w:r>
        <w:rPr>
          <w:rFonts w:ascii="Aptos" w:hAnsi="Aptos"/>
          <w:b/>
          <w:i w:val="0"/>
          <w:color w:val="102535"/>
          <w:sz w:val="18"/>
        </w:rPr>
        <w:t xml:space="preserve">Síntoma  </w:t>
      </w:r>
      <w:r>
        <w:rPr>
          <w:rFonts w:ascii="Aptos" w:hAnsi="Aptos"/>
          <w:b w:val="0"/>
          <w:i w:val="0"/>
          <w:color w:val="1C2A36"/>
          <w:sz w:val="18"/>
        </w:rPr>
        <w:t>En una captura la copia mostraba “Esta sección no quedó incluida en la copia exportada”. En otra, el archivo abierto localmente en Chrome aparecía con tipografía y controles del navegador, sin el tema oscuro de Data90.</w:t>
      </w:r>
    </w:p>
    <w:p>
      <w:pPr>
        <w:spacing w:after="60"/>
      </w:pPr>
      <w:r>
        <w:rPr>
          <w:rFonts w:ascii="Aptos" w:hAnsi="Aptos"/>
          <w:b/>
          <w:i w:val="0"/>
          <w:color w:val="102535"/>
          <w:sz w:val="18"/>
        </w:rPr>
        <w:t xml:space="preserve">Impacto  </w:t>
      </w:r>
      <w:r>
        <w:rPr>
          <w:rFonts w:ascii="Aptos" w:hAnsi="Aptos"/>
          <w:b w:val="0"/>
          <w:i w:val="0"/>
          <w:color w:val="1C2A36"/>
          <w:sz w:val="18"/>
        </w:rPr>
        <w:t>Una persona que recibe el archivo puede ver una pantalla vacía o desformateada, lo que impide revisar el producto y afecta su presentación.</w:t>
      </w:r>
    </w:p>
    <w:p>
      <w:pPr>
        <w:spacing w:after="60"/>
      </w:pPr>
      <w:r>
        <w:rPr>
          <w:rFonts w:ascii="Aptos" w:hAnsi="Aptos"/>
          <w:b/>
          <w:i w:val="0"/>
          <w:color w:val="102535"/>
          <w:sz w:val="18"/>
        </w:rPr>
        <w:t xml:space="preserve">Estado observado  </w:t>
      </w:r>
      <w:r>
        <w:rPr>
          <w:rFonts w:ascii="Aptos" w:hAnsi="Aptos"/>
          <w:b w:val="0"/>
          <w:i w:val="0"/>
          <w:color w:val="1C2A36"/>
          <w:sz w:val="18"/>
        </w:rPr>
        <w:t>Una captura posterior muestra la interfaz oscura y el calendario con formato. Esto indica una mejora en esa versión visible, pero no verifica que una exportación recién generada incluya todas las pantallas, datos y estilos para su navegación fuera del equipo.</w:t>
      </w:r>
    </w:p>
    <w:p>
      <w:pPr>
        <w:pStyle w:val="Heading2"/>
        <w:keepNext/>
      </w:pPr>
      <w:r>
        <w:t>Evidencia visual</w:t>
      </w:r>
    </w:p>
    <w:tbl>
      <w:tblPr>
        <w:tblW w:type="auto" w:w="0"/>
        <w:jc w:val="center"/>
        <w:tblLayout w:type="fixed"/>
        <w:tblLook w:firstColumn="1" w:firstRow="1" w:lastColumn="0" w:lastRow="0" w:noHBand="0" w:noVBand="1" w:val="04A0"/>
      </w:tblPr>
      <w:tblGrid>
        <w:gridCol w:w="4917"/>
        <w:gridCol w:w="4917"/>
      </w:tblGrid>
      <w:tr>
        <w:trPr>
          <w:cantSplit/>
          <w:cantSplit/>
        </w:trPr>
        <w:tc>
          <w:tcPr>
            <w:tcW w:type="dxa" w:w="4723"/>
            <w:tcBorders>
              <w:top w:val="nil"/>
              <w:left w:val="nil"/>
              <w:bottom w:val="nil"/>
              <w:right w:val="nil"/>
              <w:insideH w:val="nil"/>
              <w:insideV w:val="nil"/>
            </w:tcBorders>
            <w:vAlign w:val="top"/>
          </w:tcPr>
          <w:p>
            <w:pPr>
              <w:spacing w:after="60"/>
              <w:jc w:val="center"/>
            </w:pPr>
            <w:r>
              <w:drawing>
                <wp:inline xmlns:a="http://schemas.openxmlformats.org/drawingml/2006/main" xmlns:pic="http://schemas.openxmlformats.org/drawingml/2006/picture">
                  <wp:extent cx="2880360" cy="1399497"/>
                  <wp:docPr id="1" name="Picture 1"/>
                  <wp:cNvGraphicFramePr>
                    <a:graphicFrameLocks noChangeAspect="1"/>
                  </wp:cNvGraphicFramePr>
                  <a:graphic>
                    <a:graphicData uri="http://schemas.openxmlformats.org/drawingml/2006/picture">
                      <pic:pic>
                        <pic:nvPicPr>
                          <pic:cNvPr id="0" name="html_view_excluded.png"/>
                          <pic:cNvPicPr/>
                        </pic:nvPicPr>
                        <pic:blipFill>
                          <a:blip r:embed="rId11"/>
                          <a:stretch>
                            <a:fillRect/>
                          </a:stretch>
                        </pic:blipFill>
                        <pic:spPr>
                          <a:xfrm>
                            <a:off x="0" y="0"/>
                            <a:ext cx="2880360" cy="1399497"/>
                          </a:xfrm>
                          <a:prstGeom prst="rect"/>
                        </pic:spPr>
                      </pic:pic>
                    </a:graphicData>
                  </a:graphic>
                </wp:inline>
              </w:drawing>
            </w:r>
          </w:p>
          <w:p>
            <w:pPr>
              <w:spacing w:after="0"/>
              <w:jc w:val="center"/>
            </w:pPr>
            <w:r>
              <w:rPr>
                <w:rFonts w:ascii="Aptos" w:hAnsi="Aptos"/>
                <w:b w:val="0"/>
                <w:i/>
                <w:color w:val="536575"/>
                <w:sz w:val="15"/>
              </w:rPr>
              <w:t>Vista de error: la pantalla no se incluyó en la copia.</w:t>
            </w:r>
          </w:p>
        </w:tc>
        <w:tc>
          <w:tcPr>
            <w:tcW w:type="dxa" w:w="4723"/>
            <w:tcBorders>
              <w:top w:val="nil"/>
              <w:left w:val="nil"/>
              <w:bottom w:val="nil"/>
              <w:right w:val="nil"/>
              <w:insideH w:val="nil"/>
              <w:insideV w:val="nil"/>
            </w:tcBorders>
            <w:vAlign w:val="top"/>
          </w:tcPr>
          <w:p>
            <w:pPr>
              <w:spacing w:after="60"/>
              <w:jc w:val="center"/>
            </w:pPr>
            <w:r>
              <w:drawing>
                <wp:inline xmlns:a="http://schemas.openxmlformats.org/drawingml/2006/main" xmlns:pic="http://schemas.openxmlformats.org/drawingml/2006/picture">
                  <wp:extent cx="2880360" cy="1057632"/>
                  <wp:docPr id="2" name="Picture 2"/>
                  <wp:cNvGraphicFramePr>
                    <a:graphicFrameLocks noChangeAspect="1"/>
                  </wp:cNvGraphicFramePr>
                  <a:graphic>
                    <a:graphicData uri="http://schemas.openxmlformats.org/drawingml/2006/picture">
                      <pic:pic>
                        <pic:nvPicPr>
                          <pic:cNvPr id="0" name="html_unstyled.png"/>
                          <pic:cNvPicPr/>
                        </pic:nvPicPr>
                        <pic:blipFill>
                          <a:blip r:embed="rId12"/>
                          <a:stretch>
                            <a:fillRect/>
                          </a:stretch>
                        </pic:blipFill>
                        <pic:spPr>
                          <a:xfrm>
                            <a:off x="0" y="0"/>
                            <a:ext cx="2880360" cy="1057632"/>
                          </a:xfrm>
                          <a:prstGeom prst="rect"/>
                        </pic:spPr>
                      </pic:pic>
                    </a:graphicData>
                  </a:graphic>
                </wp:inline>
              </w:drawing>
            </w:r>
          </w:p>
          <w:p>
            <w:pPr>
              <w:spacing w:after="0"/>
              <w:jc w:val="center"/>
            </w:pPr>
            <w:r>
              <w:rPr>
                <w:rFonts w:ascii="Aptos" w:hAnsi="Aptos"/>
                <w:b w:val="0"/>
                <w:i/>
                <w:color w:val="536575"/>
                <w:sz w:val="15"/>
              </w:rPr>
              <w:t>Vista sin estilos: Chrome muestra el HTML sin la hoja visual.</w:t>
            </w:r>
          </w:p>
        </w:tc>
      </w:tr>
    </w:tbl>
    <w:p>
      <w:pPr>
        <w:spacing w:after="60"/>
      </w:pPr>
      <w:r>
        <w:rPr>
          <w:rFonts w:ascii="Aptos" w:hAnsi="Aptos"/>
          <w:b/>
          <w:i w:val="0"/>
          <w:color w:val="102535"/>
          <w:sz w:val="18"/>
        </w:rPr>
        <w:t xml:space="preserve">Criterio de cierre  </w:t>
      </w:r>
      <w:r>
        <w:rPr>
          <w:rFonts w:ascii="Aptos" w:hAnsi="Aptos"/>
          <w:b w:val="0"/>
          <w:i w:val="0"/>
          <w:color w:val="1C2A36"/>
          <w:sz w:val="18"/>
        </w:rPr>
        <w:t>Generar una copia nueva desde la aplicación; abrirla sin caché en Chrome y otro navegador; probar Inicio, competiciones, búsqueda y fichas; verificar vista móvil y estados vacíos. Debe quedar claro qué datos son exportados y qué recursos requieren conexión.</w:t>
      </w:r>
    </w:p>
    <w:p>
      <w:r>
        <w:br w:type="page"/>
      </w:r>
    </w:p>
    <w:p>
      <w:pPr>
        <w:pStyle w:val="Heading1"/>
        <w:keepNext/>
      </w:pPr>
      <w:r>
        <w:t>Riesgo medio</w:t>
      </w:r>
    </w:p>
    <w:tbl>
      <w:tblPr>
        <w:tblW w:type="auto" w:w="0"/>
        <w:jc w:val="center"/>
        <w:tblLayout w:type="fixed"/>
        <w:tblLook w:firstColumn="1" w:firstRow="1" w:lastColumn="0" w:lastRow="0" w:noHBand="0" w:noVBand="1" w:val="04A0"/>
      </w:tblPr>
      <w:tblGrid>
        <w:gridCol w:w="7344"/>
        <w:gridCol w:w="2448"/>
      </w:tblGrid>
      <w:tr>
        <w:trPr>
          <w:cantSplit/>
        </w:trPr>
        <w:tc>
          <w:tcPr>
            <w:tcW w:type="dxa" w:w="7344"/>
            <w:shd w:fill="FFF3D8"/>
            <w:tcMar>
              <w:top w:w="120" w:type="dxa"/>
              <w:start w:w="145" w:type="dxa"/>
              <w:bottom w:w="120" w:type="dxa"/>
              <w:end w:w="145" w:type="dxa"/>
            </w:tcMar>
            <w:tcBorders>
              <w:top w:val="single" w:sz="8" w:color="9C6200"/>
              <w:left w:val="single" w:sz="8" w:color="9C6200"/>
              <w:bottom w:val="single" w:sz="8" w:color="9C6200"/>
              <w:right w:val="single" w:sz="8" w:color="9C6200"/>
              <w:insideH w:val="single" w:sz="8" w:color="9C6200"/>
              <w:insideV w:val="single" w:sz="8" w:color="9C6200"/>
            </w:tcBorders>
            <w:vAlign w:val="center"/>
          </w:tcPr>
          <w:p>
            <w:pPr>
              <w:spacing w:after="40"/>
            </w:pPr>
            <w:r>
              <w:rPr>
                <w:rFonts w:ascii="Aptos" w:hAnsi="Aptos"/>
                <w:b/>
                <w:i w:val="0"/>
                <w:color w:val="9C6200"/>
                <w:sz w:val="18"/>
              </w:rPr>
              <w:t>D90-QA-045  ·  RIESGO MEDIO</w:t>
            </w:r>
            <w:r>
              <w:rPr>
                <w:rFonts w:ascii="Aptos" w:hAnsi="Aptos"/>
                <w:b/>
                <w:i w:val="0"/>
                <w:color w:val="9C6200"/>
                <w:sz w:val="18"/>
              </w:rPr>
            </w:r>
          </w:p>
          <w:p>
            <w:pPr>
              <w:spacing w:after="0"/>
            </w:pPr>
            <w:r>
              <w:rPr>
                <w:rFonts w:ascii="Aptos" w:hAnsi="Aptos"/>
                <w:b/>
                <w:i w:val="0"/>
                <w:color w:val="102535"/>
                <w:sz w:val="22"/>
              </w:rPr>
              <w:t>Los escudos de fondo competían con los datos del calendario</w:t>
            </w:r>
          </w:p>
        </w:tc>
        <w:tc>
          <w:tcPr>
            <w:tcW w:type="dxa" w:w="2448"/>
            <w:shd w:fill="FFF3D8"/>
            <w:tcMar>
              <w:top w:w="120" w:type="dxa"/>
              <w:start w:w="145" w:type="dxa"/>
              <w:bottom w:w="120" w:type="dxa"/>
              <w:end w:w="145" w:type="dxa"/>
            </w:tcMar>
            <w:tcBorders>
              <w:top w:val="single" w:sz="8" w:color="9C6200"/>
              <w:left w:val="single" w:sz="8" w:color="9C6200"/>
              <w:bottom w:val="single" w:sz="8" w:color="9C6200"/>
              <w:right w:val="single" w:sz="8" w:color="9C6200"/>
              <w:insideH w:val="single" w:sz="8" w:color="9C6200"/>
              <w:insideV w:val="single" w:sz="8" w:color="9C6200"/>
            </w:tcBorders>
            <w:vAlign w:val="center"/>
          </w:tcPr>
          <w:p>
            <w:pPr>
              <w:spacing w:after="0"/>
              <w:jc w:val="center"/>
            </w:pPr>
            <w:r>
              <w:rPr>
                <w:rFonts w:ascii="Aptos" w:hAnsi="Aptos"/>
                <w:b/>
                <w:i w:val="0"/>
                <w:color w:val="9C6200"/>
                <w:sz w:val="16"/>
              </w:rPr>
              <w:t>CORREGIDO EN LA VISTA REVISADA</w:t>
            </w:r>
          </w:p>
        </w:tc>
      </w:tr>
    </w:tbl>
    <w:p>
      <w:pPr>
        <w:spacing w:after="0"/>
      </w:pPr>
    </w:p>
    <w:p>
      <w:pPr>
        <w:spacing w:after="60"/>
      </w:pPr>
      <w:r>
        <w:rPr>
          <w:rFonts w:ascii="Aptos" w:hAnsi="Aptos"/>
          <w:b/>
          <w:i w:val="0"/>
          <w:color w:val="102535"/>
          <w:sz w:val="18"/>
        </w:rPr>
        <w:t xml:space="preserve">Síntoma  </w:t>
      </w:r>
      <w:r>
        <w:rPr>
          <w:rFonts w:ascii="Aptos" w:hAnsi="Aptos"/>
          <w:b w:val="0"/>
          <w:i w:val="0"/>
          <w:color w:val="1C2A36"/>
          <w:sz w:val="18"/>
        </w:rPr>
        <w:t>En las tarjetas de los próximos seis días, los escudos usados como fondo se superponían visualmente con los escudos frontales, los nombres y la información del partido.</w:t>
      </w:r>
    </w:p>
    <w:p>
      <w:pPr>
        <w:spacing w:after="60"/>
      </w:pPr>
      <w:r>
        <w:rPr>
          <w:rFonts w:ascii="Aptos" w:hAnsi="Aptos"/>
          <w:b/>
          <w:i w:val="0"/>
          <w:color w:val="102535"/>
          <w:sz w:val="18"/>
        </w:rPr>
        <w:t xml:space="preserve">Impacto  </w:t>
      </w:r>
      <w:r>
        <w:rPr>
          <w:rFonts w:ascii="Aptos" w:hAnsi="Aptos"/>
          <w:b w:val="0"/>
          <w:i w:val="0"/>
          <w:color w:val="1C2A36"/>
          <w:sz w:val="18"/>
        </w:rPr>
        <w:t>La lectura de equipos, VS, hora y jornada se volvía menos clara, especialmente con nombres largos o logos de alto contraste.</w:t>
      </w:r>
    </w:p>
    <w:p>
      <w:pPr>
        <w:spacing w:after="60"/>
      </w:pPr>
      <w:r>
        <w:rPr>
          <w:rFonts w:ascii="Aptos" w:hAnsi="Aptos"/>
          <w:b/>
          <w:i w:val="0"/>
          <w:color w:val="102535"/>
          <w:sz w:val="18"/>
        </w:rPr>
        <w:t xml:space="preserve">Corrección observada  </w:t>
      </w:r>
      <w:r>
        <w:rPr>
          <w:rFonts w:ascii="Aptos" w:hAnsi="Aptos"/>
          <w:b w:val="0"/>
          <w:i w:val="0"/>
          <w:color w:val="1C2A36"/>
          <w:sz w:val="18"/>
        </w:rPr>
        <w:t>En una captura posterior se quitaron los logos de fondo y se conservaron los escudos frontales, más grandes y centrados dentro de cada tarjeta.</w:t>
      </w:r>
    </w:p>
    <w:p>
      <w:pPr>
        <w:spacing w:after="60"/>
      </w:pPr>
      <w:r>
        <w:rPr>
          <w:rFonts w:ascii="Aptos" w:hAnsi="Aptos"/>
          <w:b/>
          <w:i w:val="0"/>
          <w:color w:val="102535"/>
          <w:sz w:val="18"/>
        </w:rPr>
        <w:t xml:space="preserve">Estado  </w:t>
      </w:r>
      <w:r>
        <w:rPr>
          <w:rFonts w:ascii="Aptos" w:hAnsi="Aptos"/>
          <w:b w:val="0"/>
          <w:i w:val="0"/>
          <w:color w:val="1C2A36"/>
          <w:sz w:val="18"/>
        </w:rPr>
        <w:t>La vista de escritorio revisada se ve más limpia. No se dispone de una comparación equivalente en celular ni de una captura reciente de cada formato exportado.</w:t>
      </w:r>
    </w:p>
    <w:p>
      <w:pPr>
        <w:pStyle w:val="Heading2"/>
        <w:keepNext/>
      </w:pPr>
      <w:r>
        <w:t>Comparación de la vista</w:t>
      </w:r>
    </w:p>
    <w:tbl>
      <w:tblPr>
        <w:tblW w:type="auto" w:w="0"/>
        <w:jc w:val="center"/>
        <w:tblLayout w:type="fixed"/>
        <w:tblLook w:firstColumn="1" w:firstRow="1" w:lastColumn="0" w:lastRow="0" w:noHBand="0" w:noVBand="1" w:val="04A0"/>
      </w:tblPr>
      <w:tblGrid>
        <w:gridCol w:w="4917"/>
        <w:gridCol w:w="4917"/>
      </w:tblGrid>
      <w:tr>
        <w:trPr>
          <w:cantSplit/>
          <w:cantSplit/>
        </w:trPr>
        <w:tc>
          <w:tcPr>
            <w:tcW w:type="dxa" w:w="4723"/>
            <w:tcBorders>
              <w:top w:val="nil"/>
              <w:left w:val="nil"/>
              <w:bottom w:val="nil"/>
              <w:right w:val="nil"/>
              <w:insideH w:val="nil"/>
              <w:insideV w:val="nil"/>
            </w:tcBorders>
            <w:vAlign w:val="top"/>
          </w:tcPr>
          <w:p>
            <w:pPr>
              <w:spacing w:after="60"/>
              <w:jc w:val="center"/>
            </w:pPr>
            <w:r>
              <w:drawing>
                <wp:inline xmlns:a="http://schemas.openxmlformats.org/drawingml/2006/main" xmlns:pic="http://schemas.openxmlformats.org/drawingml/2006/picture">
                  <wp:extent cx="2880360" cy="1066800"/>
                  <wp:docPr id="3" name="Picture 3"/>
                  <wp:cNvGraphicFramePr>
                    <a:graphicFrameLocks noChangeAspect="1"/>
                  </wp:cNvGraphicFramePr>
                  <a:graphic>
                    <a:graphicData uri="http://schemas.openxmlformats.org/drawingml/2006/picture">
                      <pic:pic>
                        <pic:nvPicPr>
                          <pic:cNvPr id="0" name="home_cards_before.png"/>
                          <pic:cNvPicPr/>
                        </pic:nvPicPr>
                        <pic:blipFill>
                          <a:blip r:embed="rId13"/>
                          <a:stretch>
                            <a:fillRect/>
                          </a:stretch>
                        </pic:blipFill>
                        <pic:spPr>
                          <a:xfrm>
                            <a:off x="0" y="0"/>
                            <a:ext cx="2880360" cy="1066800"/>
                          </a:xfrm>
                          <a:prstGeom prst="rect"/>
                        </pic:spPr>
                      </pic:pic>
                    </a:graphicData>
                  </a:graphic>
                </wp:inline>
              </w:drawing>
            </w:r>
          </w:p>
          <w:p>
            <w:pPr>
              <w:spacing w:after="0"/>
              <w:jc w:val="center"/>
            </w:pPr>
            <w:r>
              <w:rPr>
                <w:rFonts w:ascii="Aptos" w:hAnsi="Aptos"/>
                <w:b w:val="0"/>
                <w:i/>
                <w:color w:val="536575"/>
                <w:sz w:val="15"/>
              </w:rPr>
              <w:t>Antes: marcas de fondo grandes y superpuestas.</w:t>
            </w:r>
          </w:p>
        </w:tc>
        <w:tc>
          <w:tcPr>
            <w:tcW w:type="dxa" w:w="4723"/>
            <w:tcBorders>
              <w:top w:val="nil"/>
              <w:left w:val="nil"/>
              <w:bottom w:val="nil"/>
              <w:right w:val="nil"/>
              <w:insideH w:val="nil"/>
              <w:insideV w:val="nil"/>
            </w:tcBorders>
            <w:vAlign w:val="top"/>
          </w:tcPr>
          <w:p>
            <w:pPr>
              <w:spacing w:after="60"/>
              <w:jc w:val="center"/>
            </w:pPr>
            <w:r>
              <w:drawing>
                <wp:inline xmlns:a="http://schemas.openxmlformats.org/drawingml/2006/main" xmlns:pic="http://schemas.openxmlformats.org/drawingml/2006/picture">
                  <wp:extent cx="2880360" cy="986790"/>
                  <wp:docPr id="4" name="Picture 4"/>
                  <wp:cNvGraphicFramePr>
                    <a:graphicFrameLocks noChangeAspect="1"/>
                  </wp:cNvGraphicFramePr>
                  <a:graphic>
                    <a:graphicData uri="http://schemas.openxmlformats.org/drawingml/2006/picture">
                      <pic:pic>
                        <pic:nvPicPr>
                          <pic:cNvPr id="0" name="home_cards_after.png"/>
                          <pic:cNvPicPr/>
                        </pic:nvPicPr>
                        <pic:blipFill>
                          <a:blip r:embed="rId14"/>
                          <a:stretch>
                            <a:fillRect/>
                          </a:stretch>
                        </pic:blipFill>
                        <pic:spPr>
                          <a:xfrm>
                            <a:off x="0" y="0"/>
                            <a:ext cx="2880360" cy="986790"/>
                          </a:xfrm>
                          <a:prstGeom prst="rect"/>
                        </pic:spPr>
                      </pic:pic>
                    </a:graphicData>
                  </a:graphic>
                </wp:inline>
              </w:drawing>
            </w:r>
          </w:p>
          <w:p>
            <w:pPr>
              <w:spacing w:after="0"/>
              <w:jc w:val="center"/>
            </w:pPr>
            <w:r>
              <w:rPr>
                <w:rFonts w:ascii="Aptos" w:hAnsi="Aptos"/>
                <w:b w:val="0"/>
                <w:i/>
                <w:color w:val="536575"/>
                <w:sz w:val="15"/>
              </w:rPr>
              <w:t>Después: escudos frontales y datos con fondo despejado.</w:t>
            </w:r>
          </w:p>
        </w:tc>
      </w:tr>
    </w:tbl>
    <w:p>
      <w:pPr>
        <w:spacing w:after="60"/>
      </w:pPr>
      <w:r>
        <w:rPr>
          <w:rFonts w:ascii="Aptos" w:hAnsi="Aptos"/>
          <w:b/>
          <w:i w:val="0"/>
          <w:color w:val="102535"/>
          <w:sz w:val="18"/>
        </w:rPr>
        <w:t xml:space="preserve">Criterio de cierre  </w:t>
      </w:r>
      <w:r>
        <w:rPr>
          <w:rFonts w:ascii="Aptos" w:hAnsi="Aptos"/>
          <w:b w:val="0"/>
          <w:i w:val="0"/>
          <w:color w:val="1C2A36"/>
          <w:sz w:val="18"/>
        </w:rPr>
        <w:t>Confirmar la misma composición en las seis fechas, con nombres largos, sin partidos y en resoluciones de celular; comprobar que la copia HTML comparta el ajuste.</w:t>
      </w:r>
    </w:p>
    <w:p>
      <w:r>
        <w:br w:type="page"/>
      </w:r>
    </w:p>
    <w:p>
      <w:pPr>
        <w:pStyle w:val="Heading1"/>
        <w:keepNext/>
      </w:pPr>
      <w:r>
        <w:t>Riesgo medio</w:t>
      </w:r>
    </w:p>
    <w:tbl>
      <w:tblPr>
        <w:tblW w:type="auto" w:w="0"/>
        <w:jc w:val="center"/>
        <w:tblLayout w:type="fixed"/>
        <w:tblLook w:firstColumn="1" w:firstRow="1" w:lastColumn="0" w:lastRow="0" w:noHBand="0" w:noVBand="1" w:val="04A0"/>
      </w:tblPr>
      <w:tblGrid>
        <w:gridCol w:w="7344"/>
        <w:gridCol w:w="2448"/>
      </w:tblGrid>
      <w:tr>
        <w:trPr>
          <w:cantSplit/>
        </w:trPr>
        <w:tc>
          <w:tcPr>
            <w:tcW w:type="dxa" w:w="7344"/>
            <w:shd w:fill="FFF3D8"/>
            <w:tcMar>
              <w:top w:w="120" w:type="dxa"/>
              <w:start w:w="145" w:type="dxa"/>
              <w:bottom w:w="120" w:type="dxa"/>
              <w:end w:w="145" w:type="dxa"/>
            </w:tcMar>
            <w:tcBorders>
              <w:top w:val="single" w:sz="8" w:color="9C6200"/>
              <w:left w:val="single" w:sz="8" w:color="9C6200"/>
              <w:bottom w:val="single" w:sz="8" w:color="9C6200"/>
              <w:right w:val="single" w:sz="8" w:color="9C6200"/>
              <w:insideH w:val="single" w:sz="8" w:color="9C6200"/>
              <w:insideV w:val="single" w:sz="8" w:color="9C6200"/>
            </w:tcBorders>
            <w:vAlign w:val="center"/>
          </w:tcPr>
          <w:p>
            <w:pPr>
              <w:spacing w:after="40"/>
            </w:pPr>
            <w:r>
              <w:rPr>
                <w:rFonts w:ascii="Aptos" w:hAnsi="Aptos"/>
                <w:b/>
                <w:i w:val="0"/>
                <w:color w:val="9C6200"/>
                <w:sz w:val="18"/>
              </w:rPr>
              <w:t>D90-QA-046  ·  RIESGO MEDIO</w:t>
            </w:r>
            <w:r>
              <w:rPr>
                <w:rFonts w:ascii="Aptos" w:hAnsi="Aptos"/>
                <w:b/>
                <w:i w:val="0"/>
                <w:color w:val="9C6200"/>
                <w:sz w:val="18"/>
              </w:rPr>
            </w:r>
          </w:p>
          <w:p>
            <w:pPr>
              <w:spacing w:after="0"/>
            </w:pPr>
            <w:r>
              <w:rPr>
                <w:rFonts w:ascii="Aptos" w:hAnsi="Aptos"/>
                <w:b/>
                <w:i w:val="0"/>
                <w:color w:val="102535"/>
                <w:sz w:val="22"/>
              </w:rPr>
              <w:t>El partido destacado no siempre respetó la prioridad pedida</w:t>
            </w:r>
          </w:p>
        </w:tc>
        <w:tc>
          <w:tcPr>
            <w:tcW w:type="dxa" w:w="2448"/>
            <w:shd w:fill="FFF3D8"/>
            <w:tcMar>
              <w:top w:w="120" w:type="dxa"/>
              <w:start w:w="145" w:type="dxa"/>
              <w:bottom w:w="120" w:type="dxa"/>
              <w:end w:w="145" w:type="dxa"/>
            </w:tcMar>
            <w:tcBorders>
              <w:top w:val="single" w:sz="8" w:color="9C6200"/>
              <w:left w:val="single" w:sz="8" w:color="9C6200"/>
              <w:bottom w:val="single" w:sz="8" w:color="9C6200"/>
              <w:right w:val="single" w:sz="8" w:color="9C6200"/>
              <w:insideH w:val="single" w:sz="8" w:color="9C6200"/>
              <w:insideV w:val="single" w:sz="8" w:color="9C6200"/>
            </w:tcBorders>
            <w:vAlign w:val="center"/>
          </w:tcPr>
          <w:p>
            <w:pPr>
              <w:spacing w:after="0"/>
              <w:jc w:val="center"/>
            </w:pPr>
            <w:r>
              <w:rPr>
                <w:rFonts w:ascii="Aptos" w:hAnsi="Aptos"/>
                <w:b/>
                <w:i w:val="0"/>
                <w:color w:val="9C6200"/>
                <w:sz w:val="16"/>
              </w:rPr>
              <w:t>PENDIENTE DE REGRESIÓN</w:t>
            </w:r>
          </w:p>
        </w:tc>
      </w:tr>
    </w:tbl>
    <w:p>
      <w:pPr>
        <w:spacing w:after="0"/>
      </w:pPr>
    </w:p>
    <w:p>
      <w:pPr>
        <w:spacing w:after="60"/>
      </w:pPr>
      <w:r>
        <w:rPr>
          <w:rFonts w:ascii="Aptos" w:hAnsi="Aptos"/>
          <w:b/>
          <w:i w:val="0"/>
          <w:color w:val="102535"/>
          <w:sz w:val="18"/>
        </w:rPr>
        <w:t xml:space="preserve">Síntoma  </w:t>
      </w:r>
      <w:r>
        <w:rPr>
          <w:rFonts w:ascii="Aptos" w:hAnsi="Aptos"/>
          <w:b w:val="0"/>
          <w:i w:val="0"/>
          <w:color w:val="1C2A36"/>
          <w:sz w:val="18"/>
        </w:rPr>
        <w:t>El usuario informó selecciones inesperadas cuando había cruces simultáneos: Arsenal-Lille frente a Atlético de Madrid-Manchester United y Betis-Porto frente a Roma-Real Madrid. También definió que competición, importancia histórica/actual y una lista de clubes prioritarios deben resolver esos empates.</w:t>
      </w:r>
    </w:p>
    <w:p>
      <w:pPr>
        <w:spacing w:after="60"/>
      </w:pPr>
      <w:r>
        <w:rPr>
          <w:rFonts w:ascii="Aptos" w:hAnsi="Aptos"/>
          <w:b/>
          <w:i w:val="0"/>
          <w:color w:val="102535"/>
          <w:sz w:val="18"/>
        </w:rPr>
        <w:t xml:space="preserve">Cambio en el código  </w:t>
      </w:r>
      <w:r>
        <w:rPr>
          <w:rFonts w:ascii="Aptos" w:hAnsi="Aptos"/>
          <w:b w:val="0"/>
          <w:i w:val="0"/>
          <w:color w:val="1C2A36"/>
          <w:sz w:val="18"/>
        </w:rPr>
        <w:t>Se incorporó una política de prioridad para competición y clubes, separada en configuración y servicio. El ajuste sigue en revisión: una captura de una fecha concreta solo confirma qué partido se mostró ese día, no que todas las reglas y excepciones funcionen.</w:t>
      </w:r>
    </w:p>
    <w:p>
      <w:pPr>
        <w:spacing w:after="60"/>
      </w:pPr>
      <w:r>
        <w:rPr>
          <w:rFonts w:ascii="Aptos" w:hAnsi="Aptos"/>
          <w:b/>
          <w:i w:val="0"/>
          <w:color w:val="102535"/>
          <w:sz w:val="18"/>
        </w:rPr>
        <w:t xml:space="preserve">Riesgo residual  </w:t>
      </w:r>
      <w:r>
        <w:rPr>
          <w:rFonts w:ascii="Aptos" w:hAnsi="Aptos"/>
          <w:b w:val="0"/>
          <w:i w:val="0"/>
          <w:color w:val="1C2A36"/>
          <w:sz w:val="18"/>
        </w:rPr>
        <w:t>Si la comparación de prioridades no es determinista o no usa la fecha correcta, el inicio puede destacar un partido menos relevante aunque haya otro que cumpla reglas superiores.</w:t>
      </w:r>
    </w:p>
    <w:p>
      <w:pPr>
        <w:pStyle w:val="Heading2"/>
        <w:keepNext/>
      </w:pPr>
      <w:r>
        <w:t>Matriz mínima para cerrar el caso</w:t>
      </w:r>
    </w:p>
    <w:tbl>
      <w:tblPr>
        <w:tblW w:type="dxa" w:w="9648"/>
        <w:jc w:val="left"/>
        <w:tblLayout w:type="fixed"/>
        <w:tblLook w:firstColumn="1" w:firstRow="1" w:lastColumn="0" w:lastRow="0" w:noHBand="0" w:noVBand="1" w:val="04A0"/>
      </w:tblPr>
      <w:tblGrid>
        <w:gridCol w:w="2016"/>
        <w:gridCol w:w="7632"/>
      </w:tblGrid>
      <w:tr>
        <w:trPr>
          <w:tblHeader w:val="true"/>
          <w:cantSplit/>
        </w:trPr>
        <w:tc>
          <w:tcPr>
            <w:tcW w:type="dxa" w:w="2016"/>
            <w:shd w:fill="102535"/>
            <w:tcMar>
              <w:top w:w="100" w:type="dxa"/>
              <w:start w:w="120" w:type="dxa"/>
              <w:bottom w:w="100" w:type="dxa"/>
              <w:end w:w="120" w:type="dxa"/>
            </w:tcMar>
          </w:tcPr>
          <w:p>
            <w:r>
              <w:rPr>
                <w:rFonts w:ascii="Aptos" w:hAnsi="Aptos"/>
                <w:b/>
                <w:color w:val="FFFFFF"/>
                <w:sz w:val="16"/>
              </w:rPr>
              <w:t>REGISTRO</w:t>
            </w:r>
          </w:p>
        </w:tc>
        <w:tc>
          <w:tcPr>
            <w:tcW w:type="dxa" w:w="7632"/>
            <w:shd w:fill="102535"/>
            <w:tcMar>
              <w:top w:w="100" w:type="dxa"/>
              <w:start w:w="120" w:type="dxa"/>
              <w:bottom w:w="100" w:type="dxa"/>
              <w:end w:w="120" w:type="dxa"/>
            </w:tcMar>
          </w:tcPr>
          <w:p>
            <w:r>
              <w:rPr>
                <w:rFonts w:ascii="Aptos" w:hAnsi="Aptos"/>
                <w:b/>
                <w:color w:val="FFFFFF"/>
                <w:sz w:val="16"/>
              </w:rPr>
              <w:t>HALLAZGO OBSERVADO</w:t>
            </w:r>
          </w:p>
        </w:tc>
      </w:tr>
      <w:tr>
        <w:trPr>
          <w:cantSplit/>
          <w:cantSplit/>
        </w:trPr>
        <w:tc>
          <w:tcPr>
            <w:tcW w:type="dxa" w:w="2016"/>
            <w:shd w:fill="F5F8FA"/>
            <w:tcMar>
              <w:top w:w="90" w:type="dxa"/>
              <w:start w:w="120" w:type="dxa"/>
              <w:bottom w:w="90" w:type="dxa"/>
              <w:end w:w="120" w:type="dxa"/>
            </w:tcMar>
            <w:tcBorders>
              <w:top w:val="single" w:sz="6" w:color="D7E1E7"/>
              <w:left w:val="single" w:sz="6" w:color="D7E1E7"/>
              <w:bottom w:val="single" w:sz="6" w:color="D7E1E7"/>
              <w:right w:val="single" w:sz="6" w:color="D7E1E7"/>
              <w:insideH w:val="single" w:sz="6" w:color="D7E1E7"/>
              <w:insideV w:val="single" w:sz="6" w:color="D7E1E7"/>
            </w:tcBorders>
          </w:tcPr>
          <w:p>
            <w:pPr>
              <w:spacing w:after="0"/>
            </w:pPr>
            <w:r>
              <w:rPr>
                <w:rFonts w:ascii="Aptos" w:hAnsi="Aptos"/>
                <w:b/>
                <w:color w:val="102535"/>
                <w:sz w:val="17"/>
              </w:rPr>
              <w:t>Clubes prioritarios</w:t>
            </w:r>
          </w:p>
        </w:tc>
        <w:tc>
          <w:tcPr>
            <w:tcW w:type="dxa" w:w="7632"/>
            <w:shd w:fill="F5F8FA"/>
            <w:tcMar>
              <w:top w:w="90" w:type="dxa"/>
              <w:start w:w="120" w:type="dxa"/>
              <w:bottom w:w="90" w:type="dxa"/>
              <w:end w:w="120" w:type="dxa"/>
            </w:tcMar>
            <w:tcBorders>
              <w:top w:val="single" w:sz="6" w:color="D7E1E7"/>
              <w:left w:val="single" w:sz="6" w:color="D7E1E7"/>
              <w:bottom w:val="single" w:sz="6" w:color="D7E1E7"/>
              <w:right w:val="single" w:sz="6" w:color="D7E1E7"/>
              <w:insideH w:val="single" w:sz="6" w:color="D7E1E7"/>
              <w:insideV w:val="single" w:sz="6" w:color="D7E1E7"/>
            </w:tcBorders>
          </w:tcPr>
          <w:p>
            <w:pPr>
              <w:spacing w:after="0"/>
            </w:pPr>
            <w:r>
              <w:rPr>
                <w:rFonts w:ascii="Aptos" w:hAnsi="Aptos"/>
                <w:color w:val="1C2A36"/>
                <w:sz w:val="17"/>
              </w:rPr>
              <w:t>Real Madrid-Barcelona y otros cruces entre clubes de la lista; localía invertida.</w:t>
            </w:r>
          </w:p>
        </w:tc>
      </w:tr>
      <w:tr>
        <w:trPr>
          <w:cantSplit/>
          <w:cantSplit/>
        </w:trPr>
        <w:tc>
          <w:tcPr>
            <w:tcW w:type="dxa" w:w="2016"/>
            <w:shd w:fill="FFFFFF"/>
            <w:tcMar>
              <w:top w:w="90" w:type="dxa"/>
              <w:start w:w="120" w:type="dxa"/>
              <w:bottom w:w="90" w:type="dxa"/>
              <w:end w:w="120" w:type="dxa"/>
            </w:tcMar>
            <w:tcBorders>
              <w:top w:val="single" w:sz="6" w:color="D7E1E7"/>
              <w:left w:val="single" w:sz="6" w:color="D7E1E7"/>
              <w:bottom w:val="single" w:sz="6" w:color="D7E1E7"/>
              <w:right w:val="single" w:sz="6" w:color="D7E1E7"/>
              <w:insideH w:val="single" w:sz="6" w:color="D7E1E7"/>
              <w:insideV w:val="single" w:sz="6" w:color="D7E1E7"/>
            </w:tcBorders>
          </w:tcPr>
          <w:p>
            <w:pPr>
              <w:spacing w:after="0"/>
            </w:pPr>
            <w:r>
              <w:rPr>
                <w:rFonts w:ascii="Aptos" w:hAnsi="Aptos"/>
                <w:b/>
                <w:color w:val="102535"/>
                <w:sz w:val="17"/>
              </w:rPr>
              <w:t>Competición</w:t>
            </w:r>
          </w:p>
        </w:tc>
        <w:tc>
          <w:tcPr>
            <w:tcW w:type="dxa" w:w="7632"/>
            <w:shd w:fill="FFFFFF"/>
            <w:tcMar>
              <w:top w:w="90" w:type="dxa"/>
              <w:start w:w="120" w:type="dxa"/>
              <w:bottom w:w="90" w:type="dxa"/>
              <w:end w:w="120" w:type="dxa"/>
            </w:tcMar>
            <w:tcBorders>
              <w:top w:val="single" w:sz="6" w:color="D7E1E7"/>
              <w:left w:val="single" w:sz="6" w:color="D7E1E7"/>
              <w:bottom w:val="single" w:sz="6" w:color="D7E1E7"/>
              <w:right w:val="single" w:sz="6" w:color="D7E1E7"/>
              <w:insideH w:val="single" w:sz="6" w:color="D7E1E7"/>
              <w:insideV w:val="single" w:sz="6" w:color="D7E1E7"/>
            </w:tcBorders>
          </w:tcPr>
          <w:p>
            <w:pPr>
              <w:spacing w:after="0"/>
            </w:pPr>
            <w:r>
              <w:rPr>
                <w:rFonts w:ascii="Aptos" w:hAnsi="Aptos"/>
                <w:color w:val="1C2A36"/>
                <w:sz w:val="17"/>
              </w:rPr>
              <w:t>Champions y Europa League frente a partidos domésticos simultáneos.</w:t>
            </w:r>
          </w:p>
        </w:tc>
      </w:tr>
      <w:tr>
        <w:trPr>
          <w:cantSplit/>
          <w:cantSplit/>
        </w:trPr>
        <w:tc>
          <w:tcPr>
            <w:tcW w:type="dxa" w:w="2016"/>
            <w:shd w:fill="F5F8FA"/>
            <w:tcMar>
              <w:top w:w="90" w:type="dxa"/>
              <w:start w:w="120" w:type="dxa"/>
              <w:bottom w:w="90" w:type="dxa"/>
              <w:end w:w="120" w:type="dxa"/>
            </w:tcMar>
            <w:tcBorders>
              <w:top w:val="single" w:sz="6" w:color="D7E1E7"/>
              <w:left w:val="single" w:sz="6" w:color="D7E1E7"/>
              <w:bottom w:val="single" w:sz="6" w:color="D7E1E7"/>
              <w:right w:val="single" w:sz="6" w:color="D7E1E7"/>
              <w:insideH w:val="single" w:sz="6" w:color="D7E1E7"/>
              <w:insideV w:val="single" w:sz="6" w:color="D7E1E7"/>
            </w:tcBorders>
          </w:tcPr>
          <w:p>
            <w:pPr>
              <w:spacing w:after="0"/>
            </w:pPr>
            <w:r>
              <w:rPr>
                <w:rFonts w:ascii="Aptos" w:hAnsi="Aptos"/>
                <w:b/>
                <w:color w:val="102535"/>
                <w:sz w:val="17"/>
              </w:rPr>
              <w:t>Importancia</w:t>
            </w:r>
          </w:p>
        </w:tc>
        <w:tc>
          <w:tcPr>
            <w:tcW w:type="dxa" w:w="7632"/>
            <w:shd w:fill="F5F8FA"/>
            <w:tcMar>
              <w:top w:w="90" w:type="dxa"/>
              <w:start w:w="120" w:type="dxa"/>
              <w:bottom w:w="90" w:type="dxa"/>
              <w:end w:w="120" w:type="dxa"/>
            </w:tcMar>
            <w:tcBorders>
              <w:top w:val="single" w:sz="6" w:color="D7E1E7"/>
              <w:left w:val="single" w:sz="6" w:color="D7E1E7"/>
              <w:bottom w:val="single" w:sz="6" w:color="D7E1E7"/>
              <w:right w:val="single" w:sz="6" w:color="D7E1E7"/>
              <w:insideH w:val="single" w:sz="6" w:color="D7E1E7"/>
              <w:insideV w:val="single" w:sz="6" w:color="D7E1E7"/>
            </w:tcBorders>
          </w:tcPr>
          <w:p>
            <w:pPr>
              <w:spacing w:after="0"/>
            </w:pPr>
            <w:r>
              <w:rPr>
                <w:rFonts w:ascii="Aptos" w:hAnsi="Aptos"/>
                <w:color w:val="1C2A36"/>
                <w:sz w:val="17"/>
              </w:rPr>
              <w:t>Derby registrado frente a partido de clubes de mayor prioridad; empates de puntaje.</w:t>
            </w:r>
          </w:p>
        </w:tc>
      </w:tr>
      <w:tr>
        <w:trPr>
          <w:cantSplit/>
          <w:cantSplit/>
        </w:trPr>
        <w:tc>
          <w:tcPr>
            <w:tcW w:type="dxa" w:w="2016"/>
            <w:shd w:fill="FFFFFF"/>
            <w:tcMar>
              <w:top w:w="90" w:type="dxa"/>
              <w:start w:w="120" w:type="dxa"/>
              <w:bottom w:w="90" w:type="dxa"/>
              <w:end w:w="120" w:type="dxa"/>
            </w:tcMar>
            <w:tcBorders>
              <w:top w:val="single" w:sz="6" w:color="D7E1E7"/>
              <w:left w:val="single" w:sz="6" w:color="D7E1E7"/>
              <w:bottom w:val="single" w:sz="6" w:color="D7E1E7"/>
              <w:right w:val="single" w:sz="6" w:color="D7E1E7"/>
              <w:insideH w:val="single" w:sz="6" w:color="D7E1E7"/>
              <w:insideV w:val="single" w:sz="6" w:color="D7E1E7"/>
            </w:tcBorders>
          </w:tcPr>
          <w:p>
            <w:pPr>
              <w:spacing w:after="0"/>
            </w:pPr>
            <w:r>
              <w:rPr>
                <w:rFonts w:ascii="Aptos" w:hAnsi="Aptos"/>
                <w:b/>
                <w:color w:val="102535"/>
                <w:sz w:val="17"/>
              </w:rPr>
              <w:t>Calendario</w:t>
            </w:r>
          </w:p>
        </w:tc>
        <w:tc>
          <w:tcPr>
            <w:tcW w:type="dxa" w:w="7632"/>
            <w:shd w:fill="FFFFFF"/>
            <w:tcMar>
              <w:top w:w="90" w:type="dxa"/>
              <w:start w:w="120" w:type="dxa"/>
              <w:bottom w:w="90" w:type="dxa"/>
              <w:end w:w="120" w:type="dxa"/>
            </w:tcMar>
            <w:tcBorders>
              <w:top w:val="single" w:sz="6" w:color="D7E1E7"/>
              <w:left w:val="single" w:sz="6" w:color="D7E1E7"/>
              <w:bottom w:val="single" w:sz="6" w:color="D7E1E7"/>
              <w:right w:val="single" w:sz="6" w:color="D7E1E7"/>
              <w:insideH w:val="single" w:sz="6" w:color="D7E1E7"/>
              <w:insideV w:val="single" w:sz="6" w:color="D7E1E7"/>
            </w:tcBorders>
          </w:tcPr>
          <w:p>
            <w:pPr>
              <w:spacing w:after="0"/>
            </w:pPr>
            <w:r>
              <w:rPr>
                <w:rFonts w:ascii="Aptos" w:hAnsi="Aptos"/>
                <w:color w:val="1C2A36"/>
                <w:sz w:val="17"/>
              </w:rPr>
              <w:t>Fecha local, cambio de jornada y reprogramación; no mostrar una competición sin partidos.</w:t>
            </w:r>
          </w:p>
        </w:tc>
      </w:tr>
      <w:tr>
        <w:trPr>
          <w:cantSplit/>
          <w:cantSplit/>
        </w:trPr>
        <w:tc>
          <w:tcPr>
            <w:tcW w:type="dxa" w:w="2016"/>
            <w:shd w:fill="F5F8FA"/>
            <w:tcMar>
              <w:top w:w="90" w:type="dxa"/>
              <w:start w:w="120" w:type="dxa"/>
              <w:bottom w:w="90" w:type="dxa"/>
              <w:end w:w="120" w:type="dxa"/>
            </w:tcMar>
            <w:tcBorders>
              <w:top w:val="single" w:sz="6" w:color="D7E1E7"/>
              <w:left w:val="single" w:sz="6" w:color="D7E1E7"/>
              <w:bottom w:val="single" w:sz="6" w:color="D7E1E7"/>
              <w:right w:val="single" w:sz="6" w:color="D7E1E7"/>
              <w:insideH w:val="single" w:sz="6" w:color="D7E1E7"/>
              <w:insideV w:val="single" w:sz="6" w:color="D7E1E7"/>
            </w:tcBorders>
          </w:tcPr>
          <w:p>
            <w:pPr>
              <w:spacing w:after="0"/>
            </w:pPr>
            <w:r>
              <w:rPr>
                <w:rFonts w:ascii="Aptos" w:hAnsi="Aptos"/>
                <w:b/>
                <w:color w:val="102535"/>
                <w:sz w:val="17"/>
              </w:rPr>
              <w:t>Resultado</w:t>
            </w:r>
          </w:p>
        </w:tc>
        <w:tc>
          <w:tcPr>
            <w:tcW w:type="dxa" w:w="7632"/>
            <w:shd w:fill="F5F8FA"/>
            <w:tcMar>
              <w:top w:w="90" w:type="dxa"/>
              <w:start w:w="120" w:type="dxa"/>
              <w:bottom w:w="90" w:type="dxa"/>
              <w:end w:w="120" w:type="dxa"/>
            </w:tcMar>
            <w:tcBorders>
              <w:top w:val="single" w:sz="6" w:color="D7E1E7"/>
              <w:left w:val="single" w:sz="6" w:color="D7E1E7"/>
              <w:bottom w:val="single" w:sz="6" w:color="D7E1E7"/>
              <w:right w:val="single" w:sz="6" w:color="D7E1E7"/>
              <w:insideH w:val="single" w:sz="6" w:color="D7E1E7"/>
              <w:insideV w:val="single" w:sz="6" w:color="D7E1E7"/>
            </w:tcBorders>
          </w:tcPr>
          <w:p>
            <w:pPr>
              <w:spacing w:after="0"/>
            </w:pPr>
            <w:r>
              <w:rPr>
                <w:rFonts w:ascii="Aptos" w:hAnsi="Aptos"/>
                <w:color w:val="1C2A36"/>
                <w:sz w:val="17"/>
              </w:rPr>
              <w:t>La misma entrada y base producen siempre el mismo partido destacado; el log permite explicar el puntaje.</w:t>
            </w:r>
          </w:p>
        </w:tc>
      </w:tr>
    </w:tbl>
    <w:p>
      <w:pPr>
        <w:spacing w:after="0"/>
      </w:pPr>
    </w:p>
    <w:tbl>
      <w:tblPr>
        <w:tblW w:type="auto" w:w="0"/>
        <w:jc w:val="center"/>
        <w:tblLook w:firstColumn="1" w:firstRow="1" w:lastColumn="0" w:lastRow="0" w:noHBand="0" w:noVBand="1" w:val="04A0"/>
      </w:tblPr>
      <w:tblGrid>
        <w:gridCol w:w="9835"/>
      </w:tblGrid>
      <w:tr>
        <w:trPr>
          <w:cantSplit/>
        </w:trPr>
        <w:tc>
          <w:tcPr>
            <w:tcW w:type="dxa" w:w="9835"/>
            <w:shd w:fill="EAF5F8"/>
            <w:tcMar>
              <w:top w:w="150" w:type="dxa"/>
              <w:start w:w="190" w:type="dxa"/>
              <w:bottom w:w="150" w:type="dxa"/>
              <w:end w:w="190" w:type="dxa"/>
            </w:tcMar>
            <w:tcBorders>
              <w:top w:val="single" w:sz="12" w:color="08A9C5"/>
              <w:left w:val="single" w:sz="12" w:color="08A9C5"/>
              <w:bottom w:val="single" w:sz="12" w:color="08A9C5"/>
              <w:right w:val="single" w:sz="12" w:color="08A9C5"/>
              <w:insideH w:val="single" w:sz="12" w:color="08A9C5"/>
              <w:insideV w:val="single" w:sz="12" w:color="08A9C5"/>
            </w:tcBorders>
          </w:tcPr>
          <w:p>
            <w:pPr>
              <w:spacing w:after="80"/>
            </w:pPr>
            <w:r>
              <w:rPr>
                <w:rFonts w:ascii="Aptos" w:hAnsi="Aptos"/>
                <w:b/>
                <w:i w:val="0"/>
                <w:color w:val="08A9C5"/>
                <w:sz w:val="20"/>
              </w:rPr>
              <w:t>CONCLUSIÓN DE CIERRE</w:t>
            </w:r>
          </w:p>
          <w:p>
            <w:pPr>
              <w:spacing w:after="0"/>
            </w:pPr>
            <w:r>
              <w:rPr>
                <w:rFonts w:ascii="Aptos" w:hAnsi="Aptos"/>
                <w:b w:val="0"/>
                <w:i w:val="0"/>
                <w:color w:val="1C2A36"/>
                <w:sz w:val="18"/>
              </w:rPr>
              <w:t>El informe registra mejoras reales en la vista y cambios implementados en sincronización y prioridad. Antes de considerar estable la siguiente entrega, falta observar una sincronización programada con código 0, comprobar el alcance por fecha en el propio log y repetir una exportación HTML navegable. No se declara cobertura total de datos ni cierre de todos los casos.</w:t>
            </w:r>
          </w:p>
        </w:tc>
      </w:tr>
    </w:tbl>
    <w:p>
      <w:pPr>
        <w:spacing w:after="0"/>
      </w:pPr>
    </w:p>
    <w:p>
      <w:pPr>
        <w:pStyle w:val="Heading2"/>
        <w:keepNext/>
      </w:pPr>
      <w:r>
        <w:t>Referencias de revisión</w:t>
      </w:r>
    </w:p>
    <w:p>
      <w:pPr>
        <w:pStyle w:val="ListBullet"/>
        <w:spacing w:after="60"/>
        <w:ind w:left="288" w:hanging="173"/>
      </w:pPr>
      <w:r>
        <w:rPr>
          <w:rFonts w:ascii="Aptos" w:hAnsi="Aptos"/>
          <w:b w:val="0"/>
          <w:i w:val="0"/>
          <w:color w:val="1C2A36"/>
          <w:sz w:val="18"/>
        </w:rPr>
        <w:t>Registros locales: manual_sync.log y scheduled_sync.log.</w:t>
      </w:r>
    </w:p>
    <w:p>
      <w:pPr>
        <w:pStyle w:val="ListBullet"/>
        <w:spacing w:after="60"/>
        <w:ind w:left="288" w:hanging="173"/>
      </w:pPr>
      <w:r>
        <w:rPr>
          <w:rFonts w:ascii="Aptos" w:hAnsi="Aptos"/>
          <w:b w:val="0"/>
          <w:i w:val="0"/>
          <w:color w:val="1C2A36"/>
          <w:sz w:val="18"/>
        </w:rPr>
        <w:t>Sincronización: scripts/sync_daily.py, scripts/run_scheduled_sync.ps1, src/football_analytics/services/resilient_sync.py y sync_scope.py.</w:t>
      </w:r>
    </w:p>
    <w:p>
      <w:pPr>
        <w:pStyle w:val="ListBullet"/>
        <w:spacing w:after="60"/>
        <w:ind w:left="288" w:hanging="173"/>
      </w:pPr>
      <w:r>
        <w:rPr>
          <w:rFonts w:ascii="Aptos" w:hAnsi="Aptos"/>
          <w:b w:val="0"/>
          <w:i w:val="0"/>
          <w:color w:val="1C2A36"/>
          <w:sz w:val="18"/>
        </w:rPr>
        <w:t>Prioridad y vista: src/football_analytics/config/featured_match_priority.py, src/football_analytics/services/featured_match_policy.py y capturas de Inicio.</w:t>
      </w:r>
    </w:p>
    <w:p>
      <w:pPr>
        <w:pStyle w:val="ListBullet"/>
        <w:spacing w:after="60"/>
        <w:ind w:left="288" w:hanging="173"/>
      </w:pPr>
      <w:r>
        <w:rPr>
          <w:rFonts w:ascii="Aptos" w:hAnsi="Aptos"/>
          <w:b w:val="0"/>
          <w:i w:val="0"/>
          <w:color w:val="1C2A36"/>
          <w:sz w:val="18"/>
        </w:rPr>
        <w:t>Exportación web: scripts/export_shareable_html.py y capturas de Chrome.</w:t>
      </w:r>
    </w:p>
    <w:sectPr w:rsidR="00FC693F" w:rsidRPr="0006063C" w:rsidSect="00034616">
      <w:headerReference w:type="default" r:id="rId9"/>
      <w:footerReference w:type="default" r:id="rId10"/>
      <w:headerReference w:type="first" r:id="rId15"/>
      <w:footerReference w:type="first" r:id="rId16"/>
      <w:headerReference w:type="even" r:id="rId17"/>
      <w:footerReference w:type="even" r:id="rId18"/>
      <w:pgSz w:w="11909" w:h="16834"/>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575"/>
        <w:sz w:val="16"/>
      </w:rPr>
      <w:t xml:space="preserve">Seguimiento de calidad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A9C5"/>
        <w:sz w:val="16"/>
      </w:rPr>
      <w:t>DATA90   /   QA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C2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ptos Display" w:hAnsi="Aptos Display"/>
      <w:b/>
      <w:bCs/>
      <w:color w:val="102535"/>
      <w:sz w:val="3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02535"/>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b/>
      <w:bCs/>
      <w:color w:val="1025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140" w:after="100"/>
    </w:pPr>
    <w:rPr>
      <w:rFonts w:asciiTheme="majorHAnsi" w:eastAsiaTheme="majorEastAsia" w:hAnsiTheme="majorHAnsi" w:cstheme="majorBidi" w:ascii="Aptos" w:hAnsi="Aptos"/>
      <w:b w:val="0"/>
      <w:i/>
      <w:iCs/>
      <w:color w:val="5365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Seguimiento QA de Data90</dc:title>
  <dc:subject>Incidencias recientes y estado de verificación</dc:subject>
  <dc:creator>Data90 QA</dc:creator>
  <cp:keywords>QA, Data90, defectos, sincronización, HTML, calendario</cp:keywords>
  <dc:description>generated by python-docx</dc:description>
  <cp:lastModifiedBy/>
  <cp:revision>1</cp:revision>
  <dcterms:created xsi:type="dcterms:W3CDTF">2013-12-23T23:15:00Z</dcterms:created>
  <dcterms:modified xsi:type="dcterms:W3CDTF">2013-12-23T23:15:00Z</dcterms:modified>
  <cp:category/>
</cp:coreProperties>
</file>