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374CEFEF" w:rsidR="0003309E" w:rsidRPr="00711C16" w:rsidRDefault="00D31C82" w:rsidP="00585A13">
            <w:pPr>
              <w:jc w:val="both"/>
              <w:rPr>
                <w:rFonts w:ascii="Calibri" w:hAnsi="Calibri" w:cs="Arial"/>
                <w:i/>
                <w:color w:val="548DD4"/>
                <w:sz w:val="20"/>
                <w:szCs w:val="20"/>
                <w:lang w:eastAsia="es-CL"/>
              </w:rPr>
            </w:pPr>
            <w:r w:rsidRPr="00D31C82">
              <w:rPr>
                <w:rFonts w:ascii="Calibri" w:hAnsi="Calibri" w:cs="Arial"/>
                <w:i/>
                <w:color w:val="548DD4"/>
                <w:sz w:val="20"/>
                <w:szCs w:val="20"/>
                <w:lang w:eastAsia="es-CL"/>
              </w:rPr>
              <w:t xml:space="preserve">El proyecto </w:t>
            </w:r>
            <w:proofErr w:type="spellStart"/>
            <w:r w:rsidRPr="00D31C82">
              <w:rPr>
                <w:rFonts w:ascii="Calibri" w:hAnsi="Calibri" w:cs="Arial"/>
                <w:i/>
                <w:color w:val="548DD4"/>
                <w:sz w:val="20"/>
                <w:szCs w:val="20"/>
                <w:lang w:eastAsia="es-CL"/>
              </w:rPr>
              <w:t>CompuStock</w:t>
            </w:r>
            <w:proofErr w:type="spellEnd"/>
            <w:r w:rsidRPr="00D31C82">
              <w:rPr>
                <w:rFonts w:ascii="Calibri" w:hAnsi="Calibri" w:cs="Arial"/>
                <w:i/>
                <w:color w:val="548DD4"/>
                <w:sz w:val="20"/>
                <w:szCs w:val="20"/>
                <w:lang w:eastAsia="es-CL"/>
              </w:rPr>
              <w:t xml:space="preserve"> ERP ha completado su Fase 1 y el grueso funcional de su Fase 2 (</w:t>
            </w:r>
            <w:proofErr w:type="spellStart"/>
            <w:r w:rsidRPr="00D31C82">
              <w:rPr>
                <w:rFonts w:ascii="Calibri" w:hAnsi="Calibri" w:cs="Arial"/>
                <w:i/>
                <w:color w:val="548DD4"/>
                <w:sz w:val="20"/>
                <w:szCs w:val="20"/>
                <w:lang w:eastAsia="es-CL"/>
              </w:rPr>
              <w:t>Features</w:t>
            </w:r>
            <w:proofErr w:type="spellEnd"/>
            <w:r w:rsidRPr="00D31C82">
              <w:rPr>
                <w:rFonts w:ascii="Calibri" w:hAnsi="Calibri" w:cs="Arial"/>
                <w:i/>
                <w:color w:val="548DD4"/>
                <w:sz w:val="20"/>
                <w:szCs w:val="20"/>
                <w:lang w:eastAsia="es-CL"/>
              </w:rPr>
              <w:t xml:space="preserve"> 000 a 007). Se implementó la arquitectura en Docker (PostgreSQL, </w:t>
            </w:r>
            <w:proofErr w:type="spellStart"/>
            <w:r w:rsidRPr="00D31C82">
              <w:rPr>
                <w:rFonts w:ascii="Calibri" w:hAnsi="Calibri" w:cs="Arial"/>
                <w:i/>
                <w:color w:val="548DD4"/>
                <w:sz w:val="20"/>
                <w:szCs w:val="20"/>
                <w:lang w:eastAsia="es-CL"/>
              </w:rPr>
              <w:t>FastAPI</w:t>
            </w:r>
            <w:proofErr w:type="spellEnd"/>
            <w:r w:rsidRPr="00D31C82">
              <w:rPr>
                <w:rFonts w:ascii="Calibri" w:hAnsi="Calibri" w:cs="Arial"/>
                <w:i/>
                <w:color w:val="548DD4"/>
                <w:sz w:val="20"/>
                <w:szCs w:val="20"/>
                <w:lang w:eastAsia="es-CL"/>
              </w:rPr>
              <w:t xml:space="preserve">, Angular), estableciendo un modelo relacional 3NF. Se desarrollaron los módulos de catálogo, persistencia transaccional de </w:t>
            </w:r>
            <w:proofErr w:type="gramStart"/>
            <w:r w:rsidRPr="00D31C82">
              <w:rPr>
                <w:rFonts w:ascii="Calibri" w:hAnsi="Calibri" w:cs="Arial"/>
                <w:i/>
                <w:color w:val="548DD4"/>
                <w:sz w:val="20"/>
                <w:szCs w:val="20"/>
                <w:lang w:eastAsia="es-CL"/>
              </w:rPr>
              <w:t>tickets</w:t>
            </w:r>
            <w:proofErr w:type="gramEnd"/>
            <w:r w:rsidRPr="00D31C82">
              <w:rPr>
                <w:rFonts w:ascii="Calibri" w:hAnsi="Calibri" w:cs="Arial"/>
                <w:i/>
                <w:color w:val="548DD4"/>
                <w:sz w:val="20"/>
                <w:szCs w:val="20"/>
                <w:lang w:eastAsia="es-CL"/>
              </w:rPr>
              <w:t xml:space="preserve">, tablero Kanban y el sistema de despacho con rebaja automática de stock, asegurando consistencia transaccional ACID. A nivel de seguridad, se descontinuó el almacenamiento de contraseñas locales, delegando la autenticación a Clerk y validando los JWT contra un JWKS en el </w:t>
            </w:r>
            <w:proofErr w:type="spellStart"/>
            <w:r w:rsidRPr="00D31C82">
              <w:rPr>
                <w:rFonts w:ascii="Calibri" w:hAnsi="Calibri" w:cs="Arial"/>
                <w:i/>
                <w:color w:val="548DD4"/>
                <w:sz w:val="20"/>
                <w:szCs w:val="20"/>
                <w:lang w:eastAsia="es-CL"/>
              </w:rPr>
              <w:t>backend</w:t>
            </w:r>
            <w:proofErr w:type="spellEnd"/>
            <w:r w:rsidRPr="00D31C82">
              <w:rPr>
                <w:rFonts w:ascii="Calibri" w:hAnsi="Calibri" w:cs="Arial"/>
                <w:i/>
                <w:color w:val="548DD4"/>
                <w:sz w:val="20"/>
                <w:szCs w:val="20"/>
                <w:lang w:eastAsia="es-CL"/>
              </w:rPr>
              <w:t>, junto con la implementación de RBAC en el servidor.</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29726C76" w:rsidR="0003309E" w:rsidRPr="00A370C8" w:rsidRDefault="00D31C82" w:rsidP="00585A13">
            <w:pPr>
              <w:jc w:val="both"/>
              <w:rPr>
                <w:rFonts w:ascii="Calibri" w:hAnsi="Calibri" w:cs="Arial"/>
                <w:b/>
                <w:i/>
                <w:color w:val="548DD4"/>
                <w:sz w:val="20"/>
                <w:szCs w:val="20"/>
                <w:lang w:eastAsia="es-CL"/>
              </w:rPr>
            </w:pPr>
            <w:r w:rsidRPr="00D31C82">
              <w:rPr>
                <w:rFonts w:ascii="Calibri" w:hAnsi="Calibri" w:cs="Arial"/>
                <w:i/>
                <w:color w:val="548DD4"/>
                <w:sz w:val="20"/>
                <w:szCs w:val="20"/>
                <w:lang w:eastAsia="es-CL"/>
              </w:rPr>
              <w:t xml:space="preserve">Ajuste metodológico: Se integra como objetivo transversal la validación de seguridad de todo código generado por agentes de IA bajo el modelo Zero Trust. Además, se prioriza el particionamiento lógico </w:t>
            </w:r>
            <w:proofErr w:type="spellStart"/>
            <w:r w:rsidRPr="00D31C82">
              <w:rPr>
                <w:rFonts w:ascii="Calibri" w:hAnsi="Calibri" w:cs="Arial"/>
                <w:i/>
                <w:color w:val="548DD4"/>
                <w:sz w:val="20"/>
                <w:szCs w:val="20"/>
                <w:lang w:eastAsia="es-CL"/>
              </w:rPr>
              <w:t>multi-inquilino</w:t>
            </w:r>
            <w:proofErr w:type="spellEnd"/>
            <w:r w:rsidRPr="00D31C82">
              <w:rPr>
                <w:rFonts w:ascii="Calibri" w:hAnsi="Calibri" w:cs="Arial"/>
                <w:i/>
                <w:color w:val="548DD4"/>
                <w:sz w:val="20"/>
                <w:szCs w:val="20"/>
                <w:lang w:eastAsia="es-CL"/>
              </w:rPr>
              <w:t xml:space="preserve"> SaaS mediante RLS para asegurar el aislamiento de información entre departamentos e instituciones, cumpliendo con la Ley </w:t>
            </w:r>
            <w:proofErr w:type="spellStart"/>
            <w:r w:rsidRPr="00D31C82">
              <w:rPr>
                <w:rFonts w:ascii="Calibri" w:hAnsi="Calibri" w:cs="Arial"/>
                <w:i/>
                <w:color w:val="548DD4"/>
                <w:sz w:val="20"/>
                <w:szCs w:val="20"/>
                <w:lang w:eastAsia="es-CL"/>
              </w:rPr>
              <w:t>N°</w:t>
            </w:r>
            <w:proofErr w:type="spellEnd"/>
            <w:r w:rsidRPr="00D31C82">
              <w:rPr>
                <w:rFonts w:ascii="Calibri" w:hAnsi="Calibri" w:cs="Arial"/>
                <w:i/>
                <w:color w:val="548DD4"/>
                <w:sz w:val="20"/>
                <w:szCs w:val="20"/>
                <w:lang w:eastAsia="es-CL"/>
              </w:rPr>
              <w:t xml:space="preserve"> 19.628.</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0F5276C3" w:rsidR="0003309E" w:rsidRPr="00711C16" w:rsidRDefault="00D31C82" w:rsidP="00585A13">
            <w:pPr>
              <w:jc w:val="both"/>
              <w:rPr>
                <w:rFonts w:ascii="Calibri" w:hAnsi="Calibri" w:cs="Arial"/>
                <w:i/>
                <w:color w:val="548DD4"/>
                <w:sz w:val="20"/>
                <w:szCs w:val="20"/>
                <w:lang w:eastAsia="es-CL"/>
              </w:rPr>
            </w:pPr>
            <w:r w:rsidRPr="00D31C82">
              <w:rPr>
                <w:rFonts w:ascii="Calibri" w:hAnsi="Calibri" w:cs="Arial"/>
                <w:i/>
                <w:color w:val="548DD4"/>
                <w:sz w:val="20"/>
                <w:szCs w:val="20"/>
                <w:lang w:eastAsia="es-CL"/>
              </w:rPr>
              <w:t xml:space="preserve">Se mantiene el enfoque SDD. Sin embargo, se ajusta la metodología de pruebas: se abandona la validación exclusiva en SQLite para el </w:t>
            </w:r>
            <w:proofErr w:type="spellStart"/>
            <w:r w:rsidRPr="00D31C82">
              <w:rPr>
                <w:rFonts w:ascii="Calibri" w:hAnsi="Calibri" w:cs="Arial"/>
                <w:i/>
                <w:color w:val="548DD4"/>
                <w:sz w:val="20"/>
                <w:szCs w:val="20"/>
                <w:lang w:eastAsia="es-CL"/>
              </w:rPr>
              <w:t>backend</w:t>
            </w:r>
            <w:proofErr w:type="spellEnd"/>
            <w:r w:rsidRPr="00D31C82">
              <w:rPr>
                <w:rFonts w:ascii="Calibri" w:hAnsi="Calibri" w:cs="Arial"/>
                <w:i/>
                <w:color w:val="548DD4"/>
                <w:sz w:val="20"/>
                <w:szCs w:val="20"/>
                <w:lang w:eastAsia="es-CL"/>
              </w:rPr>
              <w:t xml:space="preserve"> y se impone la ejecución de pruebas contra PostgreSQL 16 para validar bloqueos por concurrencia (FOR UPDATE) y prevenir condiciones de carrera.</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51E5B895" w14:textId="29E174FC" w:rsidR="0003309E" w:rsidRPr="00A370C8" w:rsidRDefault="00D31C82" w:rsidP="00585A13">
            <w:pPr>
              <w:jc w:val="both"/>
              <w:rPr>
                <w:rFonts w:ascii="Calibri" w:hAnsi="Calibri" w:cs="Arial"/>
                <w:b/>
                <w:i/>
                <w:color w:val="548DD4"/>
                <w:sz w:val="20"/>
                <w:szCs w:val="20"/>
                <w:lang w:eastAsia="es-CL"/>
              </w:rPr>
            </w:pPr>
            <w:r w:rsidRPr="00D31C82">
              <w:rPr>
                <w:rFonts w:ascii="Calibri" w:hAnsi="Calibri" w:cs="Arial"/>
                <w:i/>
                <w:color w:val="548DD4"/>
                <w:sz w:val="20"/>
                <w:szCs w:val="20"/>
                <w:lang w:eastAsia="es-CL"/>
              </w:rPr>
              <w:t xml:space="preserve">Las evidencias constan del historial de </w:t>
            </w:r>
            <w:proofErr w:type="spellStart"/>
            <w:r w:rsidRPr="00D31C82">
              <w:rPr>
                <w:rFonts w:ascii="Calibri" w:hAnsi="Calibri" w:cs="Arial"/>
                <w:i/>
                <w:color w:val="548DD4"/>
                <w:sz w:val="20"/>
                <w:szCs w:val="20"/>
                <w:lang w:eastAsia="es-CL"/>
              </w:rPr>
              <w:t>commits</w:t>
            </w:r>
            <w:proofErr w:type="spellEnd"/>
            <w:r w:rsidRPr="00D31C82">
              <w:rPr>
                <w:rFonts w:ascii="Calibri" w:hAnsi="Calibri" w:cs="Arial"/>
                <w:i/>
                <w:color w:val="548DD4"/>
                <w:sz w:val="20"/>
                <w:szCs w:val="20"/>
                <w:lang w:eastAsia="es-CL"/>
              </w:rPr>
              <w:t xml:space="preserve"> en el repositorio remoto, los archivos de especificación (spec.md, plan.md, tasks.md), el archivo </w:t>
            </w:r>
            <w:proofErr w:type="spellStart"/>
            <w:r w:rsidRPr="00D31C82">
              <w:rPr>
                <w:rFonts w:ascii="Calibri" w:hAnsi="Calibri" w:cs="Arial"/>
                <w:i/>
                <w:color w:val="548DD4"/>
                <w:sz w:val="20"/>
                <w:szCs w:val="20"/>
                <w:lang w:eastAsia="es-CL"/>
              </w:rPr>
              <w:t>docker-compose.yml</w:t>
            </w:r>
            <w:proofErr w:type="spellEnd"/>
            <w:r w:rsidRPr="00D31C82">
              <w:rPr>
                <w:rFonts w:ascii="Calibri" w:hAnsi="Calibri" w:cs="Arial"/>
                <w:i/>
                <w:color w:val="548DD4"/>
                <w:sz w:val="20"/>
                <w:szCs w:val="20"/>
                <w:lang w:eastAsia="es-CL"/>
              </w:rPr>
              <w:t xml:space="preserve"> funcional y la ejecución exitosa de 377 pruebas en </w:t>
            </w:r>
            <w:proofErr w:type="spellStart"/>
            <w:r w:rsidRPr="00D31C82">
              <w:rPr>
                <w:rFonts w:ascii="Calibri" w:hAnsi="Calibri" w:cs="Arial"/>
                <w:i/>
                <w:color w:val="548DD4"/>
                <w:sz w:val="20"/>
                <w:szCs w:val="20"/>
                <w:lang w:eastAsia="es-CL"/>
              </w:rPr>
              <w:t>backend</w:t>
            </w:r>
            <w:proofErr w:type="spellEnd"/>
            <w:r w:rsidRPr="00D31C82">
              <w:rPr>
                <w:rFonts w:ascii="Calibri" w:hAnsi="Calibri" w:cs="Arial"/>
                <w:i/>
                <w:color w:val="548DD4"/>
                <w:sz w:val="20"/>
                <w:szCs w:val="20"/>
                <w:lang w:eastAsia="es-CL"/>
              </w:rPr>
              <w:t xml:space="preserve"> (</w:t>
            </w:r>
            <w:proofErr w:type="spellStart"/>
            <w:r w:rsidRPr="00D31C82">
              <w:rPr>
                <w:rFonts w:ascii="Calibri" w:hAnsi="Calibri" w:cs="Arial"/>
                <w:i/>
                <w:color w:val="548DD4"/>
                <w:sz w:val="20"/>
                <w:szCs w:val="20"/>
                <w:lang w:eastAsia="es-CL"/>
              </w:rPr>
              <w:t>pytest</w:t>
            </w:r>
            <w:proofErr w:type="spellEnd"/>
            <w:r w:rsidRPr="00D31C82">
              <w:rPr>
                <w:rFonts w:ascii="Calibri" w:hAnsi="Calibri" w:cs="Arial"/>
                <w:i/>
                <w:color w:val="548DD4"/>
                <w:sz w:val="20"/>
                <w:szCs w:val="20"/>
                <w:lang w:eastAsia="es-CL"/>
              </w:rPr>
              <w:t xml:space="preserve">) y 142 en </w:t>
            </w:r>
            <w:proofErr w:type="spellStart"/>
            <w:r w:rsidRPr="00D31C82">
              <w:rPr>
                <w:rFonts w:ascii="Calibri" w:hAnsi="Calibri" w:cs="Arial"/>
                <w:i/>
                <w:color w:val="548DD4"/>
                <w:sz w:val="20"/>
                <w:szCs w:val="20"/>
                <w:lang w:eastAsia="es-CL"/>
              </w:rPr>
              <w:t>frontend</w:t>
            </w:r>
            <w:proofErr w:type="spellEnd"/>
            <w:r w:rsidRPr="00D31C82">
              <w:rPr>
                <w:rFonts w:ascii="Calibri" w:hAnsi="Calibri" w:cs="Arial"/>
                <w:i/>
                <w:color w:val="548DD4"/>
                <w:sz w:val="20"/>
                <w:szCs w:val="20"/>
                <w:lang w:eastAsia="es-CL"/>
              </w:rPr>
              <w:t xml:space="preserve"> (ng test). La calidad del proyecto se resguardó externalizando la gestión de identidad para evitar fugas de credenciales locales, implementando migraciones de base de datos idempotentes y verificando la persistencia transaccional mediante pruebas concurrentes reales.</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22F30FE6" w:rsidR="00FD5149" w:rsidRPr="006E3B0D" w:rsidRDefault="00D31C82" w:rsidP="00FD5149">
            <w:pPr>
              <w:jc w:val="both"/>
              <w:rPr>
                <w:b/>
                <w:sz w:val="18"/>
                <w:szCs w:val="24"/>
              </w:rPr>
            </w:pPr>
            <w:r w:rsidRPr="00D31C82">
              <w:rPr>
                <w:rFonts w:ascii="Calibri" w:hAnsi="Calibri" w:cs="Arial"/>
                <w:i/>
                <w:color w:val="548DD4"/>
                <w:sz w:val="18"/>
                <w:szCs w:val="20"/>
                <w:lang w:eastAsia="es-CL"/>
              </w:rPr>
              <w:t>Arquitectura y Despliegue Seguro</w:t>
            </w:r>
          </w:p>
        </w:tc>
        <w:tc>
          <w:tcPr>
            <w:tcW w:w="1077" w:type="dxa"/>
          </w:tcPr>
          <w:p w14:paraId="7B4EBE25" w14:textId="17668177" w:rsidR="00FD5149" w:rsidRPr="006E3B0D" w:rsidRDefault="00D31C82" w:rsidP="00FD5149">
            <w:pPr>
              <w:jc w:val="both"/>
              <w:rPr>
                <w:rFonts w:ascii="Calibri" w:hAnsi="Calibri" w:cs="Arial"/>
                <w:i/>
                <w:color w:val="548DD4"/>
                <w:sz w:val="18"/>
                <w:szCs w:val="20"/>
                <w:lang w:eastAsia="es-CL"/>
              </w:rPr>
            </w:pPr>
            <w:r w:rsidRPr="00D31C82">
              <w:rPr>
                <w:rFonts w:ascii="Calibri" w:hAnsi="Calibri" w:cs="Arial"/>
                <w:i/>
                <w:color w:val="548DD4"/>
                <w:sz w:val="18"/>
                <w:szCs w:val="20"/>
                <w:lang w:eastAsia="es-CL"/>
              </w:rPr>
              <w:t>Configuración Docker, BBDD y Módulos Base (</w:t>
            </w:r>
            <w:proofErr w:type="spellStart"/>
            <w:r w:rsidRPr="00D31C82">
              <w:rPr>
                <w:rFonts w:ascii="Calibri" w:hAnsi="Calibri" w:cs="Arial"/>
                <w:i/>
                <w:color w:val="548DD4"/>
                <w:sz w:val="18"/>
                <w:szCs w:val="20"/>
                <w:lang w:eastAsia="es-CL"/>
              </w:rPr>
              <w:t>Features</w:t>
            </w:r>
            <w:proofErr w:type="spellEnd"/>
            <w:r w:rsidRPr="00D31C82">
              <w:rPr>
                <w:rFonts w:ascii="Calibri" w:hAnsi="Calibri" w:cs="Arial"/>
                <w:i/>
                <w:color w:val="548DD4"/>
                <w:sz w:val="18"/>
                <w:szCs w:val="20"/>
                <w:lang w:eastAsia="es-CL"/>
              </w:rPr>
              <w:t xml:space="preserve"> 000-001)</w:t>
            </w:r>
          </w:p>
        </w:tc>
        <w:tc>
          <w:tcPr>
            <w:tcW w:w="1276" w:type="dxa"/>
          </w:tcPr>
          <w:p w14:paraId="16E191DF" w14:textId="38846B28" w:rsidR="00FD5149" w:rsidRPr="00D31C82" w:rsidRDefault="00D31C82" w:rsidP="00FD5149">
            <w:pPr>
              <w:jc w:val="both"/>
              <w:rPr>
                <w:b/>
                <w:sz w:val="18"/>
                <w:szCs w:val="24"/>
                <w:lang w:val="en-US"/>
              </w:rPr>
            </w:pPr>
            <w:r w:rsidRPr="00D31C82">
              <w:rPr>
                <w:rFonts w:ascii="Calibri" w:hAnsi="Calibri" w:cs="Arial"/>
                <w:i/>
                <w:color w:val="548DD4"/>
                <w:sz w:val="18"/>
                <w:szCs w:val="20"/>
                <w:lang w:val="en-US" w:eastAsia="es-CL"/>
              </w:rPr>
              <w:t>Docker Desktop, Git Bash, PostgreSQL</w:t>
            </w:r>
          </w:p>
        </w:tc>
        <w:tc>
          <w:tcPr>
            <w:tcW w:w="1276" w:type="dxa"/>
          </w:tcPr>
          <w:p w14:paraId="66A5D860" w14:textId="45F3B43B" w:rsidR="00FD5149" w:rsidRPr="006E3B0D" w:rsidRDefault="00D31C82" w:rsidP="00FD5149">
            <w:pPr>
              <w:jc w:val="both"/>
              <w:rPr>
                <w:b/>
                <w:sz w:val="18"/>
                <w:szCs w:val="24"/>
              </w:rPr>
            </w:pPr>
            <w:r w:rsidRPr="00D31C82">
              <w:rPr>
                <w:rFonts w:ascii="Calibri" w:hAnsi="Calibri" w:cs="Arial"/>
                <w:i/>
                <w:color w:val="548DD4"/>
                <w:sz w:val="18"/>
                <w:szCs w:val="20"/>
                <w:lang w:eastAsia="es-CL"/>
              </w:rPr>
              <w:t>2 semanas</w:t>
            </w:r>
          </w:p>
        </w:tc>
        <w:tc>
          <w:tcPr>
            <w:tcW w:w="1275" w:type="dxa"/>
          </w:tcPr>
          <w:p w14:paraId="036AB5D8" w14:textId="7D1B26EC" w:rsidR="00FD5149" w:rsidRPr="006E3B0D" w:rsidRDefault="00D31C82" w:rsidP="00FD5149">
            <w:pPr>
              <w:jc w:val="both"/>
              <w:rPr>
                <w:rFonts w:ascii="Calibri" w:hAnsi="Calibri" w:cs="Arial"/>
                <w:i/>
                <w:color w:val="548DD4"/>
                <w:sz w:val="18"/>
                <w:szCs w:val="20"/>
                <w:lang w:eastAsia="es-CL"/>
              </w:rPr>
            </w:pPr>
            <w:r w:rsidRPr="00D31C82">
              <w:rPr>
                <w:rFonts w:ascii="Calibri" w:hAnsi="Calibri" w:cs="Arial"/>
                <w:i/>
                <w:color w:val="548DD4"/>
                <w:sz w:val="18"/>
                <w:szCs w:val="20"/>
                <w:lang w:eastAsia="es-CL"/>
              </w:rPr>
              <w:t>Luciano y Cris</w:t>
            </w:r>
            <w:r>
              <w:rPr>
                <w:rFonts w:ascii="Calibri" w:hAnsi="Calibri" w:cs="Arial"/>
                <w:i/>
                <w:color w:val="548DD4"/>
                <w:sz w:val="18"/>
                <w:szCs w:val="20"/>
                <w:lang w:eastAsia="es-CL"/>
              </w:rPr>
              <w:t>tian</w:t>
            </w:r>
          </w:p>
        </w:tc>
        <w:tc>
          <w:tcPr>
            <w:tcW w:w="1276" w:type="dxa"/>
          </w:tcPr>
          <w:p w14:paraId="2FCEC037" w14:textId="6E7114C4" w:rsidR="00FD5149" w:rsidRPr="006E3B0D" w:rsidRDefault="00D31C82" w:rsidP="00FD5149">
            <w:pPr>
              <w:jc w:val="both"/>
              <w:rPr>
                <w:rFonts w:ascii="Calibri" w:hAnsi="Calibri" w:cs="Arial"/>
                <w:i/>
                <w:color w:val="548DD4"/>
                <w:sz w:val="18"/>
                <w:szCs w:val="20"/>
                <w:lang w:eastAsia="es-CL"/>
              </w:rPr>
            </w:pPr>
            <w:r w:rsidRPr="00D31C82">
              <w:rPr>
                <w:rFonts w:ascii="Calibri" w:hAnsi="Calibri" w:cs="Arial"/>
                <w:i/>
                <w:color w:val="548DD4"/>
                <w:sz w:val="18"/>
                <w:szCs w:val="20"/>
                <w:lang w:eastAsia="es-CL"/>
              </w:rPr>
              <w:t xml:space="preserve">Riesgo mitigado de exposición de puertos </w:t>
            </w:r>
            <w:proofErr w:type="gramStart"/>
            <w:r w:rsidRPr="00D31C82">
              <w:rPr>
                <w:rFonts w:ascii="Calibri" w:hAnsi="Calibri" w:cs="Arial"/>
                <w:i/>
                <w:color w:val="548DD4"/>
                <w:sz w:val="18"/>
                <w:szCs w:val="20"/>
                <w:lang w:eastAsia="es-CL"/>
              </w:rPr>
              <w:t>internos.</w:t>
            </w:r>
            <w:r w:rsidR="00FD5149" w:rsidRPr="006E3B0D">
              <w:rPr>
                <w:rFonts w:ascii="Calibri" w:hAnsi="Calibri" w:cs="Arial"/>
                <w:i/>
                <w:color w:val="548DD4"/>
                <w:sz w:val="18"/>
                <w:szCs w:val="20"/>
                <w:lang w:eastAsia="es-CL"/>
              </w:rPr>
              <w:t>.</w:t>
            </w:r>
            <w:proofErr w:type="gramEnd"/>
          </w:p>
        </w:tc>
        <w:tc>
          <w:tcPr>
            <w:tcW w:w="1418" w:type="dxa"/>
          </w:tcPr>
          <w:p w14:paraId="2163602D" w14:textId="50EC0B88" w:rsidR="00FD5149" w:rsidRPr="00E54467" w:rsidRDefault="00D31C82" w:rsidP="00FD5149">
            <w:pPr>
              <w:jc w:val="both"/>
              <w:rPr>
                <w:rFonts w:ascii="Calibri" w:hAnsi="Calibri" w:cs="Arial"/>
                <w:i/>
                <w:color w:val="C00000"/>
                <w:sz w:val="16"/>
                <w:szCs w:val="20"/>
                <w:lang w:eastAsia="es-CL"/>
              </w:rPr>
            </w:pPr>
            <w:r w:rsidRPr="00D31C82">
              <w:rPr>
                <w:rFonts w:ascii="Calibri" w:hAnsi="Calibri" w:cs="Arial"/>
                <w:i/>
                <w:color w:val="548DD4"/>
                <w:sz w:val="18"/>
                <w:szCs w:val="20"/>
                <w:lang w:eastAsia="es-CL"/>
              </w:rPr>
              <w:t>Completado</w:t>
            </w:r>
          </w:p>
        </w:tc>
        <w:tc>
          <w:tcPr>
            <w:tcW w:w="850" w:type="dxa"/>
          </w:tcPr>
          <w:p w14:paraId="7C6D6F31" w14:textId="0D7E1F3B" w:rsidR="00FD5149" w:rsidRPr="006E3B0D" w:rsidRDefault="00D31C82" w:rsidP="00FD5149">
            <w:pPr>
              <w:jc w:val="both"/>
              <w:rPr>
                <w:rFonts w:ascii="Calibri" w:hAnsi="Calibri" w:cs="Arial"/>
                <w:i/>
                <w:color w:val="548DD4"/>
                <w:sz w:val="18"/>
                <w:szCs w:val="20"/>
                <w:lang w:eastAsia="es-CL"/>
              </w:rPr>
            </w:pPr>
            <w:r w:rsidRPr="00D31C82">
              <w:rPr>
                <w:rFonts w:ascii="Calibri" w:hAnsi="Calibri" w:cs="Arial"/>
                <w:i/>
                <w:color w:val="548DD4"/>
                <w:sz w:val="18"/>
                <w:szCs w:val="20"/>
                <w:lang w:eastAsia="es-CL"/>
              </w:rPr>
              <w:t>Se excluyeron variables .env del VCS.</w:t>
            </w:r>
          </w:p>
        </w:tc>
      </w:tr>
      <w:tr w:rsidR="00D31C82" w:rsidRPr="006E3B0D" w14:paraId="4AF7A864" w14:textId="77777777" w:rsidTr="00246806">
        <w:trPr>
          <w:trHeight w:val="2410"/>
        </w:trPr>
        <w:tc>
          <w:tcPr>
            <w:tcW w:w="1328" w:type="dxa"/>
            <w:vAlign w:val="center"/>
          </w:tcPr>
          <w:p w14:paraId="7DF8E912" w14:textId="7C0031C0"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Desarrollo Lógica de Negocio</w:t>
            </w:r>
          </w:p>
        </w:tc>
        <w:tc>
          <w:tcPr>
            <w:tcW w:w="1077" w:type="dxa"/>
            <w:vAlign w:val="center"/>
          </w:tcPr>
          <w:p w14:paraId="51125B30" w14:textId="2E818431"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 xml:space="preserve">Catálogo, </w:t>
            </w:r>
            <w:proofErr w:type="gramStart"/>
            <w:r w:rsidRPr="00D31C82">
              <w:rPr>
                <w:rFonts w:cstheme="minorHAnsi"/>
                <w:i/>
                <w:iCs/>
                <w:color w:val="2E74B5" w:themeColor="accent5" w:themeShade="BF"/>
                <w:sz w:val="18"/>
                <w:szCs w:val="18"/>
              </w:rPr>
              <w:t>Tickets</w:t>
            </w:r>
            <w:proofErr w:type="gramEnd"/>
            <w:r w:rsidRPr="00D31C82">
              <w:rPr>
                <w:rFonts w:cstheme="minorHAnsi"/>
                <w:i/>
                <w:iCs/>
                <w:color w:val="2E74B5" w:themeColor="accent5" w:themeShade="BF"/>
                <w:sz w:val="18"/>
                <w:szCs w:val="18"/>
              </w:rPr>
              <w:t>, Kanban y Despacho (</w:t>
            </w:r>
            <w:proofErr w:type="spellStart"/>
            <w:r w:rsidRPr="00D31C82">
              <w:rPr>
                <w:rFonts w:cstheme="minorHAnsi"/>
                <w:i/>
                <w:iCs/>
                <w:color w:val="2E74B5" w:themeColor="accent5" w:themeShade="BF"/>
                <w:sz w:val="18"/>
                <w:szCs w:val="18"/>
              </w:rPr>
              <w:t>Features</w:t>
            </w:r>
            <w:proofErr w:type="spellEnd"/>
            <w:r w:rsidRPr="00D31C82">
              <w:rPr>
                <w:rFonts w:cstheme="minorHAnsi"/>
                <w:i/>
                <w:iCs/>
                <w:color w:val="2E74B5" w:themeColor="accent5" w:themeShade="BF"/>
                <w:sz w:val="18"/>
                <w:szCs w:val="18"/>
              </w:rPr>
              <w:t xml:space="preserve"> 002-005)</w:t>
            </w:r>
          </w:p>
        </w:tc>
        <w:tc>
          <w:tcPr>
            <w:tcW w:w="1276" w:type="dxa"/>
            <w:vAlign w:val="center"/>
          </w:tcPr>
          <w:p w14:paraId="48411FD2" w14:textId="39B925F1" w:rsidR="00D31C82" w:rsidRPr="00D31C82" w:rsidRDefault="00D31C82" w:rsidP="00D31C82">
            <w:pPr>
              <w:jc w:val="both"/>
              <w:rPr>
                <w:rFonts w:cstheme="minorHAnsi"/>
                <w:i/>
                <w:iCs/>
                <w:color w:val="2E74B5" w:themeColor="accent5" w:themeShade="BF"/>
                <w:sz w:val="18"/>
                <w:szCs w:val="18"/>
                <w:lang w:eastAsia="es-CL"/>
              </w:rPr>
            </w:pPr>
            <w:proofErr w:type="spellStart"/>
            <w:r w:rsidRPr="00D31C82">
              <w:rPr>
                <w:rFonts w:cstheme="minorHAnsi"/>
                <w:i/>
                <w:iCs/>
                <w:color w:val="2E74B5" w:themeColor="accent5" w:themeShade="BF"/>
                <w:sz w:val="18"/>
                <w:szCs w:val="18"/>
              </w:rPr>
              <w:t>FastAPI</w:t>
            </w:r>
            <w:proofErr w:type="spellEnd"/>
            <w:r w:rsidRPr="00D31C82">
              <w:rPr>
                <w:rFonts w:cstheme="minorHAnsi"/>
                <w:i/>
                <w:iCs/>
                <w:color w:val="2E74B5" w:themeColor="accent5" w:themeShade="BF"/>
                <w:sz w:val="18"/>
                <w:szCs w:val="18"/>
              </w:rPr>
              <w:t xml:space="preserve">, Angular, </w:t>
            </w:r>
            <w:proofErr w:type="spellStart"/>
            <w:r w:rsidRPr="00D31C82">
              <w:rPr>
                <w:rFonts w:cstheme="minorHAnsi"/>
                <w:i/>
                <w:iCs/>
                <w:color w:val="2E74B5" w:themeColor="accent5" w:themeShade="BF"/>
                <w:sz w:val="18"/>
                <w:szCs w:val="18"/>
              </w:rPr>
              <w:t>OpenAI</w:t>
            </w:r>
            <w:proofErr w:type="spellEnd"/>
            <w:r w:rsidRPr="00D31C82">
              <w:rPr>
                <w:rFonts w:cstheme="minorHAnsi"/>
                <w:i/>
                <w:iCs/>
                <w:color w:val="2E74B5" w:themeColor="accent5" w:themeShade="BF"/>
                <w:sz w:val="18"/>
                <w:szCs w:val="18"/>
              </w:rPr>
              <w:t>/Agentes</w:t>
            </w:r>
          </w:p>
        </w:tc>
        <w:tc>
          <w:tcPr>
            <w:tcW w:w="1276" w:type="dxa"/>
            <w:vAlign w:val="center"/>
          </w:tcPr>
          <w:p w14:paraId="056E9DE6" w14:textId="0EF155BC"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3 semanas</w:t>
            </w:r>
          </w:p>
        </w:tc>
        <w:tc>
          <w:tcPr>
            <w:tcW w:w="1275" w:type="dxa"/>
            <w:vAlign w:val="center"/>
          </w:tcPr>
          <w:p w14:paraId="7FAC3587" w14:textId="1B1811FB" w:rsidR="00D31C82" w:rsidRPr="00D31C82" w:rsidRDefault="00D31C82" w:rsidP="00D31C82">
            <w:pPr>
              <w:jc w:val="both"/>
              <w:rPr>
                <w:rFonts w:cstheme="minorHAnsi"/>
                <w:i/>
                <w:iCs/>
                <w:color w:val="2E74B5" w:themeColor="accent5" w:themeShade="BF"/>
                <w:sz w:val="18"/>
                <w:szCs w:val="18"/>
                <w:lang w:eastAsia="es-CL"/>
              </w:rPr>
            </w:pPr>
            <w:r>
              <w:rPr>
                <w:rFonts w:cstheme="minorHAnsi"/>
                <w:i/>
                <w:iCs/>
                <w:color w:val="2E74B5" w:themeColor="accent5" w:themeShade="BF"/>
                <w:sz w:val="18"/>
                <w:szCs w:val="18"/>
              </w:rPr>
              <w:t>Ricardo</w:t>
            </w:r>
          </w:p>
        </w:tc>
        <w:tc>
          <w:tcPr>
            <w:tcW w:w="1276" w:type="dxa"/>
            <w:vAlign w:val="center"/>
          </w:tcPr>
          <w:p w14:paraId="0C8E65FF" w14:textId="5F90589D"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Posibles problemas de concurrencia al despachar.</w:t>
            </w:r>
          </w:p>
        </w:tc>
        <w:tc>
          <w:tcPr>
            <w:tcW w:w="1418" w:type="dxa"/>
            <w:vAlign w:val="center"/>
          </w:tcPr>
          <w:p w14:paraId="4DEB951E" w14:textId="3FA46311"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Completado</w:t>
            </w:r>
          </w:p>
        </w:tc>
        <w:tc>
          <w:tcPr>
            <w:tcW w:w="850" w:type="dxa"/>
            <w:vAlign w:val="center"/>
          </w:tcPr>
          <w:p w14:paraId="61C4838D" w14:textId="20794976"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Pruebas de integración añadidas.</w:t>
            </w:r>
          </w:p>
        </w:tc>
      </w:tr>
      <w:tr w:rsidR="00D31C82" w:rsidRPr="006E3B0D" w14:paraId="68462C29" w14:textId="77777777" w:rsidTr="00246806">
        <w:trPr>
          <w:trHeight w:val="2410"/>
        </w:trPr>
        <w:tc>
          <w:tcPr>
            <w:tcW w:w="1328" w:type="dxa"/>
            <w:vAlign w:val="center"/>
          </w:tcPr>
          <w:p w14:paraId="1A03DAF3" w14:textId="6803F5E0"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Gestión de Identidad y Accesos</w:t>
            </w:r>
          </w:p>
        </w:tc>
        <w:tc>
          <w:tcPr>
            <w:tcW w:w="1077" w:type="dxa"/>
            <w:vAlign w:val="center"/>
          </w:tcPr>
          <w:p w14:paraId="20F34EDB" w14:textId="7AFC938C"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Autenticación Clerk y RBAC (</w:t>
            </w:r>
            <w:proofErr w:type="spellStart"/>
            <w:r w:rsidRPr="00D31C82">
              <w:rPr>
                <w:rFonts w:cstheme="minorHAnsi"/>
                <w:i/>
                <w:iCs/>
                <w:color w:val="2E74B5" w:themeColor="accent5" w:themeShade="BF"/>
                <w:sz w:val="18"/>
                <w:szCs w:val="18"/>
              </w:rPr>
              <w:t>Features</w:t>
            </w:r>
            <w:proofErr w:type="spellEnd"/>
            <w:r w:rsidRPr="00D31C82">
              <w:rPr>
                <w:rFonts w:cstheme="minorHAnsi"/>
                <w:i/>
                <w:iCs/>
                <w:color w:val="2E74B5" w:themeColor="accent5" w:themeShade="BF"/>
                <w:sz w:val="18"/>
                <w:szCs w:val="18"/>
              </w:rPr>
              <w:t xml:space="preserve"> 006-007)</w:t>
            </w:r>
          </w:p>
        </w:tc>
        <w:tc>
          <w:tcPr>
            <w:tcW w:w="1276" w:type="dxa"/>
            <w:vAlign w:val="center"/>
          </w:tcPr>
          <w:p w14:paraId="3124F257" w14:textId="46B567C2"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 xml:space="preserve">Clerk API, JWKS, </w:t>
            </w:r>
            <w:proofErr w:type="spellStart"/>
            <w:r w:rsidRPr="00D31C82">
              <w:rPr>
                <w:rFonts w:cstheme="minorHAnsi"/>
                <w:i/>
                <w:iCs/>
                <w:color w:val="2E74B5" w:themeColor="accent5" w:themeShade="BF"/>
                <w:sz w:val="18"/>
                <w:szCs w:val="18"/>
              </w:rPr>
              <w:t>Pydantic</w:t>
            </w:r>
            <w:proofErr w:type="spellEnd"/>
          </w:p>
        </w:tc>
        <w:tc>
          <w:tcPr>
            <w:tcW w:w="1276" w:type="dxa"/>
            <w:vAlign w:val="center"/>
          </w:tcPr>
          <w:p w14:paraId="7171B1B8" w14:textId="385A47BB"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1 semana</w:t>
            </w:r>
          </w:p>
        </w:tc>
        <w:tc>
          <w:tcPr>
            <w:tcW w:w="1275" w:type="dxa"/>
            <w:vAlign w:val="center"/>
          </w:tcPr>
          <w:p w14:paraId="31BBCFF0" w14:textId="3850EAAB" w:rsidR="00D31C82" w:rsidRPr="00D31C82" w:rsidRDefault="00D31C82" w:rsidP="00D31C82">
            <w:pPr>
              <w:jc w:val="both"/>
              <w:rPr>
                <w:rFonts w:cstheme="minorHAnsi"/>
                <w:i/>
                <w:iCs/>
                <w:color w:val="2E74B5" w:themeColor="accent5" w:themeShade="BF"/>
                <w:sz w:val="18"/>
                <w:szCs w:val="18"/>
                <w:lang w:eastAsia="es-CL"/>
              </w:rPr>
            </w:pPr>
            <w:r>
              <w:rPr>
                <w:rFonts w:cstheme="minorHAnsi"/>
                <w:i/>
                <w:iCs/>
                <w:color w:val="2E74B5" w:themeColor="accent5" w:themeShade="BF"/>
                <w:sz w:val="18"/>
                <w:szCs w:val="18"/>
              </w:rPr>
              <w:t xml:space="preserve">Cristian </w:t>
            </w:r>
          </w:p>
        </w:tc>
        <w:tc>
          <w:tcPr>
            <w:tcW w:w="1276" w:type="dxa"/>
            <w:vAlign w:val="center"/>
          </w:tcPr>
          <w:p w14:paraId="0D24F9D7" w14:textId="6872DF36"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 xml:space="preserve">Eliminación de </w:t>
            </w:r>
            <w:proofErr w:type="spellStart"/>
            <w:r w:rsidRPr="00D31C82">
              <w:rPr>
                <w:rFonts w:cstheme="minorHAnsi"/>
                <w:i/>
                <w:iCs/>
                <w:color w:val="2E74B5" w:themeColor="accent5" w:themeShade="BF"/>
                <w:sz w:val="18"/>
                <w:szCs w:val="18"/>
              </w:rPr>
              <w:t>passwords</w:t>
            </w:r>
            <w:proofErr w:type="spellEnd"/>
            <w:r w:rsidRPr="00D31C82">
              <w:rPr>
                <w:rFonts w:cstheme="minorHAnsi"/>
                <w:i/>
                <w:iCs/>
                <w:color w:val="2E74B5" w:themeColor="accent5" w:themeShade="BF"/>
                <w:sz w:val="18"/>
                <w:szCs w:val="18"/>
              </w:rPr>
              <w:t xml:space="preserve"> en BBDD fue exitosa.</w:t>
            </w:r>
          </w:p>
        </w:tc>
        <w:tc>
          <w:tcPr>
            <w:tcW w:w="1418" w:type="dxa"/>
            <w:vAlign w:val="center"/>
          </w:tcPr>
          <w:p w14:paraId="5E9163CD" w14:textId="19EA0E16"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Completado</w:t>
            </w:r>
          </w:p>
        </w:tc>
        <w:tc>
          <w:tcPr>
            <w:tcW w:w="850" w:type="dxa"/>
            <w:vAlign w:val="center"/>
          </w:tcPr>
          <w:p w14:paraId="0AAEA03E" w14:textId="432B11F2"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Retiro definitivo de auth local.</w:t>
            </w:r>
          </w:p>
        </w:tc>
      </w:tr>
      <w:tr w:rsidR="00D31C82" w:rsidRPr="006E3B0D" w14:paraId="74C8FB0B" w14:textId="77777777" w:rsidTr="001E3E4B">
        <w:trPr>
          <w:trHeight w:val="2410"/>
        </w:trPr>
        <w:tc>
          <w:tcPr>
            <w:tcW w:w="1328" w:type="dxa"/>
            <w:vAlign w:val="center"/>
          </w:tcPr>
          <w:p w14:paraId="1835DD44" w14:textId="09C129F4"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lastRenderedPageBreak/>
              <w:t>Ciberseguridad y Aislamiento</w:t>
            </w:r>
          </w:p>
        </w:tc>
        <w:tc>
          <w:tcPr>
            <w:tcW w:w="1077" w:type="dxa"/>
            <w:vAlign w:val="center"/>
          </w:tcPr>
          <w:p w14:paraId="65763079" w14:textId="527321D9"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 xml:space="preserve">Particionamiento lógico SaaS </w:t>
            </w:r>
            <w:proofErr w:type="spellStart"/>
            <w:r w:rsidRPr="00D31C82">
              <w:rPr>
                <w:rFonts w:cstheme="minorHAnsi"/>
                <w:i/>
                <w:iCs/>
                <w:color w:val="2E74B5" w:themeColor="accent5" w:themeShade="BF"/>
                <w:sz w:val="18"/>
                <w:szCs w:val="18"/>
              </w:rPr>
              <w:t>multi-tenant</w:t>
            </w:r>
            <w:proofErr w:type="spellEnd"/>
            <w:r w:rsidRPr="00D31C82">
              <w:rPr>
                <w:rFonts w:cstheme="minorHAnsi"/>
                <w:i/>
                <w:iCs/>
                <w:color w:val="2E74B5" w:themeColor="accent5" w:themeShade="BF"/>
                <w:sz w:val="18"/>
                <w:szCs w:val="18"/>
              </w:rPr>
              <w:t xml:space="preserve"> (</w:t>
            </w:r>
            <w:proofErr w:type="spellStart"/>
            <w:r w:rsidRPr="00D31C82">
              <w:rPr>
                <w:rFonts w:cstheme="minorHAnsi"/>
                <w:i/>
                <w:iCs/>
                <w:color w:val="2E74B5" w:themeColor="accent5" w:themeShade="BF"/>
                <w:sz w:val="18"/>
                <w:szCs w:val="18"/>
              </w:rPr>
              <w:t>Feature</w:t>
            </w:r>
            <w:proofErr w:type="spellEnd"/>
            <w:r w:rsidRPr="00D31C82">
              <w:rPr>
                <w:rFonts w:cstheme="minorHAnsi"/>
                <w:i/>
                <w:iCs/>
                <w:color w:val="2E74B5" w:themeColor="accent5" w:themeShade="BF"/>
                <w:sz w:val="18"/>
                <w:szCs w:val="18"/>
              </w:rPr>
              <w:t xml:space="preserve"> 008)</w:t>
            </w:r>
          </w:p>
        </w:tc>
        <w:tc>
          <w:tcPr>
            <w:tcW w:w="1276" w:type="dxa"/>
            <w:vAlign w:val="center"/>
          </w:tcPr>
          <w:p w14:paraId="022E89B2" w14:textId="25E6621E"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PostgreSQL (RLS)</w:t>
            </w:r>
          </w:p>
        </w:tc>
        <w:tc>
          <w:tcPr>
            <w:tcW w:w="1276" w:type="dxa"/>
            <w:vAlign w:val="center"/>
          </w:tcPr>
          <w:p w14:paraId="4E652F2E" w14:textId="124EDC0A"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2 semanas</w:t>
            </w:r>
          </w:p>
        </w:tc>
        <w:tc>
          <w:tcPr>
            <w:tcW w:w="1275" w:type="dxa"/>
            <w:vAlign w:val="center"/>
          </w:tcPr>
          <w:p w14:paraId="1ACFD66D" w14:textId="765C1584"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Luciano</w:t>
            </w:r>
          </w:p>
        </w:tc>
        <w:tc>
          <w:tcPr>
            <w:tcW w:w="1276" w:type="dxa"/>
            <w:vAlign w:val="center"/>
          </w:tcPr>
          <w:p w14:paraId="3261CE7E" w14:textId="45B25766"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 xml:space="preserve">Riesgo crítico de IDOR si se maneja solo en el </w:t>
            </w:r>
            <w:proofErr w:type="spellStart"/>
            <w:r w:rsidRPr="00D31C82">
              <w:rPr>
                <w:rFonts w:cstheme="minorHAnsi"/>
                <w:i/>
                <w:iCs/>
                <w:color w:val="2E74B5" w:themeColor="accent5" w:themeShade="BF"/>
                <w:sz w:val="18"/>
                <w:szCs w:val="18"/>
              </w:rPr>
              <w:t>Backend</w:t>
            </w:r>
            <w:proofErr w:type="spellEnd"/>
            <w:r w:rsidRPr="00D31C82">
              <w:rPr>
                <w:rFonts w:cstheme="minorHAnsi"/>
                <w:i/>
                <w:iCs/>
                <w:color w:val="2E74B5" w:themeColor="accent5" w:themeShade="BF"/>
                <w:sz w:val="18"/>
                <w:szCs w:val="18"/>
              </w:rPr>
              <w:t>.</w:t>
            </w:r>
          </w:p>
        </w:tc>
        <w:tc>
          <w:tcPr>
            <w:tcW w:w="1418" w:type="dxa"/>
            <w:vAlign w:val="center"/>
          </w:tcPr>
          <w:p w14:paraId="6D3B88C5" w14:textId="65CFB400"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No iniciado</w:t>
            </w:r>
          </w:p>
        </w:tc>
        <w:tc>
          <w:tcPr>
            <w:tcW w:w="850" w:type="dxa"/>
            <w:vAlign w:val="center"/>
          </w:tcPr>
          <w:p w14:paraId="1FFAD4F8" w14:textId="6C395CEF"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Se forzará seguridad a nivel de filas.</w:t>
            </w:r>
          </w:p>
        </w:tc>
      </w:tr>
      <w:tr w:rsidR="00D31C82" w:rsidRPr="006E3B0D" w14:paraId="7D70F086" w14:textId="77777777" w:rsidTr="001E3E4B">
        <w:trPr>
          <w:trHeight w:val="2410"/>
        </w:trPr>
        <w:tc>
          <w:tcPr>
            <w:tcW w:w="1328" w:type="dxa"/>
            <w:vAlign w:val="center"/>
          </w:tcPr>
          <w:p w14:paraId="6718FF3A" w14:textId="6FAF1D1B"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Auditoría de Código IA</w:t>
            </w:r>
          </w:p>
        </w:tc>
        <w:tc>
          <w:tcPr>
            <w:tcW w:w="1077" w:type="dxa"/>
            <w:vAlign w:val="center"/>
          </w:tcPr>
          <w:p w14:paraId="45044836" w14:textId="2BFC7E62"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Revisión de scripts automatizados y configuraciones</w:t>
            </w:r>
          </w:p>
        </w:tc>
        <w:tc>
          <w:tcPr>
            <w:tcW w:w="1276" w:type="dxa"/>
            <w:vAlign w:val="center"/>
          </w:tcPr>
          <w:p w14:paraId="505307EC" w14:textId="10894CE5" w:rsidR="00D31C82" w:rsidRPr="00D31C82" w:rsidRDefault="00D31C82" w:rsidP="00D31C82">
            <w:pPr>
              <w:jc w:val="both"/>
              <w:rPr>
                <w:rFonts w:cstheme="minorHAnsi"/>
                <w:i/>
                <w:iCs/>
                <w:color w:val="2E74B5" w:themeColor="accent5" w:themeShade="BF"/>
                <w:sz w:val="18"/>
                <w:szCs w:val="18"/>
                <w:lang w:eastAsia="es-CL"/>
              </w:rPr>
            </w:pPr>
            <w:proofErr w:type="spellStart"/>
            <w:r w:rsidRPr="00D31C82">
              <w:rPr>
                <w:rFonts w:cstheme="minorHAnsi"/>
                <w:i/>
                <w:iCs/>
                <w:color w:val="2E74B5" w:themeColor="accent5" w:themeShade="BF"/>
                <w:sz w:val="18"/>
                <w:szCs w:val="18"/>
              </w:rPr>
              <w:t>OpenCode</w:t>
            </w:r>
            <w:proofErr w:type="spellEnd"/>
            <w:r w:rsidRPr="00D31C82">
              <w:rPr>
                <w:rFonts w:cstheme="minorHAnsi"/>
                <w:i/>
                <w:iCs/>
                <w:color w:val="2E74B5" w:themeColor="accent5" w:themeShade="BF"/>
                <w:sz w:val="18"/>
                <w:szCs w:val="18"/>
              </w:rPr>
              <w:t>, Terminal</w:t>
            </w:r>
          </w:p>
        </w:tc>
        <w:tc>
          <w:tcPr>
            <w:tcW w:w="1276" w:type="dxa"/>
            <w:vAlign w:val="center"/>
          </w:tcPr>
          <w:p w14:paraId="1C63CD71" w14:textId="7E57B81E"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1 semana</w:t>
            </w:r>
          </w:p>
        </w:tc>
        <w:tc>
          <w:tcPr>
            <w:tcW w:w="1275" w:type="dxa"/>
            <w:vAlign w:val="center"/>
          </w:tcPr>
          <w:p w14:paraId="3BCD2053" w14:textId="61FB6B3D" w:rsidR="00D31C82" w:rsidRPr="00D31C82" w:rsidRDefault="00D31C82" w:rsidP="00D31C82">
            <w:pPr>
              <w:jc w:val="both"/>
              <w:rPr>
                <w:rFonts w:cstheme="minorHAnsi"/>
                <w:i/>
                <w:iCs/>
                <w:color w:val="2E74B5" w:themeColor="accent5" w:themeShade="BF"/>
                <w:sz w:val="18"/>
                <w:szCs w:val="18"/>
                <w:lang w:eastAsia="es-CL"/>
              </w:rPr>
            </w:pPr>
            <w:r>
              <w:rPr>
                <w:rFonts w:cstheme="minorHAnsi"/>
                <w:i/>
                <w:iCs/>
                <w:color w:val="2E74B5" w:themeColor="accent5" w:themeShade="BF"/>
                <w:sz w:val="18"/>
                <w:szCs w:val="18"/>
              </w:rPr>
              <w:t>Cristan</w:t>
            </w:r>
          </w:p>
        </w:tc>
        <w:tc>
          <w:tcPr>
            <w:tcW w:w="1276" w:type="dxa"/>
            <w:vAlign w:val="center"/>
          </w:tcPr>
          <w:p w14:paraId="475DD370" w14:textId="44EC69FD"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Volumen alto de código no auditado (58 archivos).</w:t>
            </w:r>
          </w:p>
        </w:tc>
        <w:tc>
          <w:tcPr>
            <w:tcW w:w="1418" w:type="dxa"/>
            <w:vAlign w:val="center"/>
          </w:tcPr>
          <w:p w14:paraId="75854DDF" w14:textId="3CAAE647"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En curso</w:t>
            </w:r>
          </w:p>
        </w:tc>
        <w:tc>
          <w:tcPr>
            <w:tcW w:w="850" w:type="dxa"/>
            <w:vAlign w:val="center"/>
          </w:tcPr>
          <w:p w14:paraId="16094A37" w14:textId="035103B2" w:rsidR="00D31C82" w:rsidRPr="00D31C82" w:rsidRDefault="00D31C82" w:rsidP="00D31C82">
            <w:pPr>
              <w:jc w:val="both"/>
              <w:rPr>
                <w:rFonts w:cstheme="minorHAnsi"/>
                <w:i/>
                <w:iCs/>
                <w:color w:val="2E74B5" w:themeColor="accent5" w:themeShade="BF"/>
                <w:sz w:val="18"/>
                <w:szCs w:val="18"/>
                <w:lang w:eastAsia="es-CL"/>
              </w:rPr>
            </w:pPr>
            <w:r w:rsidRPr="00D31C82">
              <w:rPr>
                <w:rFonts w:cstheme="minorHAnsi"/>
                <w:i/>
                <w:iCs/>
                <w:color w:val="2E74B5" w:themeColor="accent5" w:themeShade="BF"/>
                <w:sz w:val="18"/>
                <w:szCs w:val="18"/>
              </w:rPr>
              <w:t>Integración de análisis estático.</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5542ADA3" w14:textId="77777777" w:rsidR="00D31C82" w:rsidRDefault="0003309E" w:rsidP="00C5122E">
            <w:pPr>
              <w:rPr>
                <w:rFonts w:ascii="Calibri" w:hAnsi="Calibri" w:cs="Arial"/>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5F34C839" w14:textId="0E28FB70" w:rsidR="0003309E" w:rsidRPr="00CD38BD" w:rsidRDefault="00D31C82" w:rsidP="00C5122E">
            <w:pPr>
              <w:rPr>
                <w:rFonts w:ascii="Calibri" w:hAnsi="Calibri"/>
                <w:color w:val="1F3864" w:themeColor="accent1" w:themeShade="80"/>
              </w:rPr>
            </w:pPr>
            <w:r w:rsidRPr="00D31C82">
              <w:rPr>
                <w:rFonts w:ascii="Calibri" w:hAnsi="Calibri" w:cs="Arial"/>
                <w:i/>
                <w:iCs/>
                <w:color w:val="548DD4"/>
                <w:sz w:val="20"/>
                <w:szCs w:val="20"/>
                <w:lang w:eastAsia="es-CL"/>
              </w:rPr>
              <w:t xml:space="preserve">Facilitadores: El uso de agentes de IA y la metodología SDD aceleraron la codificación del </w:t>
            </w:r>
            <w:proofErr w:type="spellStart"/>
            <w:r w:rsidRPr="00D31C82">
              <w:rPr>
                <w:rFonts w:ascii="Calibri" w:hAnsi="Calibri" w:cs="Arial"/>
                <w:i/>
                <w:iCs/>
                <w:color w:val="548DD4"/>
                <w:sz w:val="20"/>
                <w:szCs w:val="20"/>
                <w:lang w:eastAsia="es-CL"/>
              </w:rPr>
              <w:t>backend</w:t>
            </w:r>
            <w:proofErr w:type="spellEnd"/>
            <w:r w:rsidRPr="00D31C82">
              <w:rPr>
                <w:rFonts w:ascii="Calibri" w:hAnsi="Calibri" w:cs="Arial"/>
                <w:i/>
                <w:iCs/>
                <w:color w:val="548DD4"/>
                <w:sz w:val="20"/>
                <w:szCs w:val="20"/>
                <w:lang w:eastAsia="es-CL"/>
              </w:rPr>
              <w:t xml:space="preserve"> y el </w:t>
            </w:r>
            <w:proofErr w:type="spellStart"/>
            <w:r w:rsidRPr="00D31C82">
              <w:rPr>
                <w:rFonts w:ascii="Calibri" w:hAnsi="Calibri" w:cs="Arial"/>
                <w:i/>
                <w:iCs/>
                <w:color w:val="548DD4"/>
                <w:sz w:val="20"/>
                <w:szCs w:val="20"/>
                <w:lang w:eastAsia="es-CL"/>
              </w:rPr>
              <w:t>frontend</w:t>
            </w:r>
            <w:proofErr w:type="spellEnd"/>
            <w:r w:rsidRPr="00D31C82">
              <w:rPr>
                <w:rFonts w:ascii="Calibri" w:hAnsi="Calibri" w:cs="Arial"/>
                <w:i/>
                <w:iCs/>
                <w:color w:val="548DD4"/>
                <w:sz w:val="20"/>
                <w:szCs w:val="20"/>
                <w:lang w:eastAsia="es-CL"/>
              </w:rPr>
              <w:t>, logrando cerrar múltiples características en poco tiempo. Dificultades: La configuración dual de variables de entorno (como DB_PORT) generó conflictos de red interna en los contenedores, provocando errores HTTP 500. Como acción correctiva, se estandarizó la inyección de variables separando estrictamente el entorno del host de la red bridge de Docker.</w:t>
            </w: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p w14:paraId="63FB6CC3" w14:textId="77777777" w:rsidR="00D31C82" w:rsidRDefault="00D31C82"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59198622" w14:textId="77777777" w:rsidR="00D31C82" w:rsidRDefault="0003309E" w:rsidP="00C5122E">
            <w:pPr>
              <w:jc w:val="both"/>
              <w:rPr>
                <w:rFonts w:ascii="Calibri" w:hAnsi="Calibri"/>
                <w:color w:val="1F3864" w:themeColor="accent1" w:themeShade="80"/>
              </w:rPr>
            </w:pPr>
            <w:r w:rsidRPr="00CD38BD">
              <w:rPr>
                <w:rFonts w:ascii="Calibri" w:hAnsi="Calibri"/>
                <w:color w:val="1F3864" w:themeColor="accent1" w:themeShade="80"/>
              </w:rPr>
              <w:lastRenderedPageBreak/>
              <w:t xml:space="preserve">Actividades ajustadas o eliminadas: </w:t>
            </w:r>
          </w:p>
          <w:p w14:paraId="269AA2D0" w14:textId="090327C6" w:rsidR="0003309E" w:rsidRDefault="00D31C82" w:rsidP="00C5122E">
            <w:pPr>
              <w:jc w:val="both"/>
              <w:rPr>
                <w:rFonts w:ascii="Calibri" w:hAnsi="Calibri" w:cs="Arial"/>
                <w:i/>
                <w:color w:val="C00000"/>
                <w:sz w:val="20"/>
                <w:szCs w:val="20"/>
                <w:lang w:eastAsia="es-CL"/>
              </w:rPr>
            </w:pPr>
            <w:r w:rsidRPr="00D31C82">
              <w:rPr>
                <w:rFonts w:ascii="Calibri" w:hAnsi="Calibri" w:cs="Arial"/>
                <w:i/>
                <w:color w:val="548DD4"/>
                <w:sz w:val="20"/>
                <w:szCs w:val="20"/>
                <w:lang w:eastAsia="es-CL"/>
              </w:rPr>
              <w:t xml:space="preserve">Se ajustó el procedimiento de pruebas automatizadas. Se eliminó la validación exclusiva del </w:t>
            </w:r>
            <w:proofErr w:type="spellStart"/>
            <w:r w:rsidRPr="00D31C82">
              <w:rPr>
                <w:rFonts w:ascii="Calibri" w:hAnsi="Calibri" w:cs="Arial"/>
                <w:i/>
                <w:color w:val="548DD4"/>
                <w:sz w:val="20"/>
                <w:szCs w:val="20"/>
                <w:lang w:eastAsia="es-CL"/>
              </w:rPr>
              <w:t>backend</w:t>
            </w:r>
            <w:proofErr w:type="spellEnd"/>
            <w:r w:rsidRPr="00D31C82">
              <w:rPr>
                <w:rFonts w:ascii="Calibri" w:hAnsi="Calibri" w:cs="Arial"/>
                <w:i/>
                <w:color w:val="548DD4"/>
                <w:sz w:val="20"/>
                <w:szCs w:val="20"/>
                <w:lang w:eastAsia="es-CL"/>
              </w:rPr>
              <w:t xml:space="preserve"> sobre bases de datos en memoria (SQLite) porque dicho motor ignora instrucciones SQL críticas para la integridad de los datos (FOR UPDATE), lo que daba falsos positivos en las pruebas de concurrencia. Todo el </w:t>
            </w:r>
            <w:proofErr w:type="spellStart"/>
            <w:r w:rsidRPr="00D31C82">
              <w:rPr>
                <w:rFonts w:ascii="Calibri" w:hAnsi="Calibri" w:cs="Arial"/>
                <w:i/>
                <w:iCs/>
                <w:color w:val="548DD4"/>
                <w:sz w:val="20"/>
                <w:szCs w:val="20"/>
                <w:lang w:eastAsia="es-CL"/>
              </w:rPr>
              <w:t>testing</w:t>
            </w:r>
            <w:proofErr w:type="spellEnd"/>
            <w:r w:rsidRPr="00D31C82">
              <w:rPr>
                <w:rFonts w:ascii="Calibri" w:hAnsi="Calibri" w:cs="Arial"/>
                <w:i/>
                <w:color w:val="548DD4"/>
                <w:sz w:val="20"/>
                <w:szCs w:val="20"/>
                <w:lang w:eastAsia="es-CL"/>
              </w:rPr>
              <w:t xml:space="preserve"> se migró a la instancia nativa de PostgreSQL.</w:t>
            </w: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CA8229" w14:textId="77777777" w:rsidR="00D31C82"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6B5D082F" w14:textId="3553FAD5" w:rsidR="00FD5149" w:rsidRDefault="00D31C82" w:rsidP="00585A13">
            <w:pPr>
              <w:jc w:val="both"/>
              <w:rPr>
                <w:rFonts w:ascii="Calibri" w:hAnsi="Calibri" w:cs="Arial"/>
                <w:i/>
                <w:color w:val="548DD4"/>
                <w:sz w:val="20"/>
                <w:szCs w:val="20"/>
                <w:lang w:eastAsia="es-CL"/>
              </w:rPr>
            </w:pPr>
            <w:r w:rsidRPr="00D31C82">
              <w:rPr>
                <w:rFonts w:ascii="Calibri" w:hAnsi="Calibri" w:cs="Arial"/>
                <w:i/>
                <w:color w:val="548DD4"/>
                <w:sz w:val="20"/>
                <w:szCs w:val="20"/>
                <w:lang w:eastAsia="es-CL"/>
              </w:rPr>
              <w:t xml:space="preserve">La </w:t>
            </w:r>
            <w:proofErr w:type="spellStart"/>
            <w:r w:rsidRPr="00D31C82">
              <w:rPr>
                <w:rFonts w:ascii="Calibri" w:hAnsi="Calibri" w:cs="Arial"/>
                <w:i/>
                <w:color w:val="548DD4"/>
                <w:sz w:val="20"/>
                <w:szCs w:val="20"/>
                <w:lang w:eastAsia="es-CL"/>
              </w:rPr>
              <w:t>Feature</w:t>
            </w:r>
            <w:proofErr w:type="spellEnd"/>
            <w:r w:rsidRPr="00D31C82">
              <w:rPr>
                <w:rFonts w:ascii="Calibri" w:hAnsi="Calibri" w:cs="Arial"/>
                <w:i/>
                <w:color w:val="548DD4"/>
                <w:sz w:val="20"/>
                <w:szCs w:val="20"/>
                <w:lang w:eastAsia="es-CL"/>
              </w:rPr>
              <w:t xml:space="preserve"> 008 (Particionamiento lógico por institución) se encuentra sin iniciar. El retraso es intencional: antes de desarrollar el aislamiento </w:t>
            </w:r>
            <w:proofErr w:type="spellStart"/>
            <w:r w:rsidRPr="00D31C82">
              <w:rPr>
                <w:rFonts w:ascii="Calibri" w:hAnsi="Calibri" w:cs="Arial"/>
                <w:i/>
                <w:color w:val="548DD4"/>
                <w:sz w:val="20"/>
                <w:szCs w:val="20"/>
                <w:lang w:eastAsia="es-CL"/>
              </w:rPr>
              <w:t>multi-inquilino</w:t>
            </w:r>
            <w:proofErr w:type="spellEnd"/>
            <w:r w:rsidRPr="00D31C82">
              <w:rPr>
                <w:rFonts w:ascii="Calibri" w:hAnsi="Calibri" w:cs="Arial"/>
                <w:i/>
                <w:color w:val="548DD4"/>
                <w:sz w:val="20"/>
                <w:szCs w:val="20"/>
                <w:lang w:eastAsia="es-CL"/>
              </w:rPr>
              <w:t xml:space="preserve">, es necesario auditar exhaustivamente la seguridad lógica y los vectores de inyección del código masivo inyectado recientemente por los agentes de IA. La estrategia para avanzar será implementar y probar primero las políticas RLS directamente en la base de datos antes de enlazar la lógica en </w:t>
            </w:r>
            <w:proofErr w:type="spellStart"/>
            <w:r w:rsidRPr="00D31C82">
              <w:rPr>
                <w:rFonts w:ascii="Calibri" w:hAnsi="Calibri" w:cs="Arial"/>
                <w:i/>
                <w:color w:val="548DD4"/>
                <w:sz w:val="20"/>
                <w:szCs w:val="20"/>
                <w:lang w:eastAsia="es-CL"/>
              </w:rPr>
              <w:t>FastAPI</w:t>
            </w:r>
            <w:proofErr w:type="spellEnd"/>
            <w:r w:rsidRPr="00D31C82">
              <w:rPr>
                <w:rFonts w:ascii="Calibri" w:hAnsi="Calibri" w:cs="Arial"/>
                <w:i/>
                <w:color w:val="548DD4"/>
                <w:sz w:val="20"/>
                <w:szCs w:val="20"/>
                <w:lang w:eastAsia="es-CL"/>
              </w:rPr>
              <w:t>, mitigando proactivamente los riesgos de escalamiento de privilegios.</w:t>
            </w: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13AAC" w14:textId="77777777" w:rsidR="000A4EC6" w:rsidRDefault="000A4EC6" w:rsidP="0003309E">
      <w:pPr>
        <w:spacing w:after="0" w:line="240" w:lineRule="auto"/>
      </w:pPr>
      <w:r>
        <w:separator/>
      </w:r>
    </w:p>
  </w:endnote>
  <w:endnote w:type="continuationSeparator" w:id="0">
    <w:p w14:paraId="740D9F17" w14:textId="77777777" w:rsidR="000A4EC6" w:rsidRDefault="000A4EC6"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20E7C" w14:textId="77777777" w:rsidR="000A4EC6" w:rsidRDefault="000A4EC6" w:rsidP="0003309E">
      <w:pPr>
        <w:spacing w:after="0" w:line="240" w:lineRule="auto"/>
      </w:pPr>
      <w:r>
        <w:separator/>
      </w:r>
    </w:p>
  </w:footnote>
  <w:footnote w:type="continuationSeparator" w:id="0">
    <w:p w14:paraId="7F499541" w14:textId="77777777" w:rsidR="000A4EC6" w:rsidRDefault="000A4EC6"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33464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0A4EC6"/>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A0A2F"/>
    <w:rsid w:val="00CE0AA8"/>
    <w:rsid w:val="00D31C82"/>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4</Pages>
  <Words>824</Words>
  <Characters>4534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Luciano Raul Illanes Arias</cp:lastModifiedBy>
  <cp:revision>5</cp:revision>
  <dcterms:created xsi:type="dcterms:W3CDTF">2022-08-24T18:14:00Z</dcterms:created>
  <dcterms:modified xsi:type="dcterms:W3CDTF">2026-10-14T21:35:00Z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