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RTI y la probabilidad p.D1p</w:t>
      </w:r>
    </w:p>
    <w:p>
      <w:pPr>
        <w:spacing w:after="120"/>
      </w:pPr>
      <w:r>
        <w:t xml:space="preserve">Displasia → preclínico 1. Modelo de Markov de progresión de cáncer gástrico (Modelo_Prgrsn_CG_FONIS). 8 de octubre de 2026.</w:t>
      </w:r>
    </w:p>
    <w:p>
      <w:pPr>
        <w:pStyle w:val="Heading1"/>
      </w:pPr>
      <w:r>
        <w:t xml:space="preserve">1. Resumen</w:t>
      </w:r>
    </w:p>
    <w:p>
      <w:pPr>
        <w:spacing w:after="120"/>
      </w:pPr>
      <w:r>
        <w:t xml:space="preserve">El RTI se aplica a un solo parámetro,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(displasia → preclínico 1), y solo al momento de </w:t>
      </w:r>
      <w:r>
        <w:rPr>
          <w:b/>
          <w:bCs/>
        </w:rPr>
        <w:t xml:space="preserve">cargar los inputs</w:t>
      </w:r>
      <w:r>
        <w:t xml:space="preserve">. Ni el modelo ni la calibración lo usan directamente.</w:t>
      </w:r>
    </w:p>
    <w:p>
      <w:pPr>
        <w:spacing w:after="120"/>
      </w:pPr>
      <w:r>
        <w:t xml:space="preserve">La calibración reemplaza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por su propia versión por tramos de edad, y sus priors parten del valor previo al RTI (0,039). Por eso, el RTI solo afecta las corridas que usan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tal como sale de la carga: el </w:t>
      </w:r>
      <w:r>
        <w:rPr>
          <w:b/>
          <w:bCs/>
        </w:rPr>
        <w:t xml:space="preserve">modelo base</w:t>
      </w:r>
      <w:r>
        <w:t xml:space="preserve">, sin calibrar.</w:t>
      </w:r>
    </w:p>
    <w:p>
      <w:pPr>
        <w:pStyle w:val="Heading1"/>
      </w:pPr>
      <w:r>
        <w:t xml:space="preserve">2. Carga de inputs (Inputs_model.xlsx)</w:t>
      </w:r>
    </w:p>
    <w:p>
      <w:pPr>
        <w:spacing w:after="120"/>
      </w:pPr>
      <w:r>
        <w:rPr>
          <w:b/>
          <w:bCs/>
        </w:rPr>
        <w:t xml:space="preserve">Hoja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RTI_MODEL</w:t>
      </w:r>
      <w:r>
        <w:t xml:space="preserve">: se lee y se convierte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rti_vector</w:t>
      </w:r>
      <w:r>
        <w:t xml:space="preserve"> (un multiplicador por edad, 18–99 años)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eval(parse())</w:t>
      </w:r>
      <w:r>
        <w:t xml:space="preserve">. No se usa en ningún otro lugar del flujo.</w:t>
      </w:r>
    </w:p>
    <w:p>
      <w:pPr>
        <w:spacing w:after="120"/>
      </w:pPr>
      <w:r>
        <w:rPr>
          <w:b/>
          <w:bCs/>
        </w:rPr>
        <w:t xml:space="preserve">Hojas</w:t>
      </w:r>
      <w:r>
        <w:t xml:space="preserve">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PROBS*</w:t>
      </w:r>
      <w:r>
        <w:t xml:space="preserve">: el cargador aplica la transformación RTI a las filas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usage = "yes"</w:t>
      </w:r>
      <w:r>
        <w:t xml:space="preserve">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time_efect = "yes"</w:t>
      </w:r>
      <w:r>
        <w:t xml:space="preserve">. La única fila que cumple ambas condiciones 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, con valor 0,039.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3019"/>
        <w:gridCol w:w="5436"/>
      </w:tblGrid>
      <w:tr>
        <w:trPr>
          <w:cantSplit/>
          <w:tblHeader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Operación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Objeto resultante</w:t>
            </w:r>
          </w:p>
        </w:tc>
      </w:tr>
      <w:tr>
        <w:trPr>
          <w:cantSplit/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Guardar el valor original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p.D1p_base</w:t>
            </w:r>
            <w:r>
              <w:rPr>
                <w:sz w:val="19"/>
                <w:szCs w:val="19"/>
              </w:rPr>
              <w:t xml:space="preserve"> = 0,039 (escalar)</w:t>
            </w:r>
          </w:p>
        </w:tc>
      </w:tr>
      <w:tr>
        <w:trPr>
          <w:cantSplit/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Convertir a tasa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 = −log(1 − 0,039)</w:t>
            </w:r>
          </w:p>
        </w:tc>
      </w:tr>
      <w:tr>
        <w:trPr>
          <w:cantSplit/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Ajustar por edad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r(t) = r ×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rti_vector</w:t>
            </w:r>
            <w:r>
              <w:rPr>
                <w:sz w:val="19"/>
                <w:szCs w:val="19"/>
              </w:rPr>
              <w:t xml:space="preserve">(t)</w:t>
            </w:r>
          </w:p>
        </w:tc>
      </w:tr>
      <w:tr>
        <w:trPr>
          <w:cantSplit/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Volver a probabilidad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  <w:r>
              <w:rPr>
                <w:sz w:val="19"/>
                <w:szCs w:val="19"/>
              </w:rPr>
              <w:t xml:space="preserve">(t) = 1 − exp(−r(t)), vector de 18 a 99 años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Ambos objetos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p.D1p_base</w:t>
      </w:r>
      <w:r>
        <w:t xml:space="preserve">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con RTI) quedan en el entorno y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inputs_cg_MarkovModel</w:t>
      </w:r>
      <w:r>
        <w:t xml:space="preserve">. Las probabilidades de muerte (hojas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PROB_DIE*</w:t>
      </w:r>
      <w:r>
        <w:t xml:space="preserve">) no pasan por esta transformación, porque el nombre de la hoja no empieza con "PROBS".</w:t>
      </w:r>
    </w:p>
    <w:p>
      <w:pPr>
        <w:pStyle w:val="Heading1"/>
      </w:pPr>
      <w:r>
        <w:t xml:space="preserve">3. Modelo (runs_gc_markov)</w:t>
      </w:r>
    </w:p>
    <w:p>
      <w:pPr>
        <w:keepNext/>
        <w:spacing w:after="100"/>
      </w:pPr>
      <w:r>
        <w:t xml:space="preserve">La función no hace referencia al RTI. Usa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tal como lo recibe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v_params</w:t>
      </w:r>
      <w:r>
        <w:t xml:space="preserve"> y lo coloca en cuatro celdas por ciclo: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3"/>
        <w:gridCol w:w="5167"/>
      </w:tblGrid>
      <w:tr>
        <w:trPr>
          <w:cantSplit/>
          <w:tblHeader/>
        </w:trPr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Celda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false"/>
        </w:trPr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["Dysplasiahpn", "1preclinical", ]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</w:p>
        </w:tc>
      </w:tr>
      <w:tr>
        <w:trPr>
          <w:cantSplit/>
          <w:tblHeader w:val="false"/>
        </w:trPr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["Dysplasiahpp", "1preclinical", ]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</w:p>
        </w:tc>
      </w:tr>
      <w:tr>
        <w:trPr>
          <w:cantSplit/>
          <w:tblHeader w:val="false"/>
        </w:trPr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["Dysplasiahpn", "Dysplasiahpn", ]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p.DnDp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p.DnIn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p.DnD</w:t>
            </w:r>
          </w:p>
        </w:tc>
      </w:tr>
      <w:tr>
        <w:trPr>
          <w:cantSplit/>
          <w:tblHeader w:val="false"/>
        </w:trPr>
        <w:tc>
          <w:tcPr>
            <w:tcW w:type="dxa" w:w="4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["Dysplasiahpp", "Dysplasiahpp", ]</w:t>
            </w:r>
          </w:p>
        </w:tc>
        <w:tc>
          <w:tcPr>
            <w:tcW w:type="dxa" w:w="5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p.DpDn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p.DpIp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p.DpD</w:t>
            </w:r>
          </w:p>
        </w:tc>
      </w:tr>
    </w:tbl>
    <w:p>
      <w:pPr>
        <w:spacing w:after="60"/>
      </w:pPr>
    </w:p>
    <w:p>
      <w:pPr>
        <w:keepNext/>
        <w:spacing w:after="100"/>
      </w:pPr>
      <w:r>
        <w:t xml:space="preserve">La versión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que ve el modelo depende de quién lo llame: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runs_gc_markov(inputs_cg_MarkovModel)</w:t>
      </w:r>
      <w:r>
        <w:t xml:space="preserve"> recibe el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</w:t>
      </w:r>
      <w:r>
        <w:rPr>
          <w:b/>
          <w:bCs/>
        </w:rPr>
        <w:t xml:space="preserve">con RTI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calibración y la propagación le pasan el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</w:t>
      </w:r>
      <w:r>
        <w:rPr>
          <w:b/>
          <w:bCs/>
        </w:rPr>
        <w:t xml:space="preserve">por tramos</w:t>
      </w:r>
      <w:r>
        <w:t xml:space="preserve">, sin RTI.</w:t>
      </w:r>
    </w:p>
    <w:p>
      <w:pPr>
        <w:pStyle w:val="Heading1"/>
      </w:pPr>
      <w:r>
        <w:t xml:space="preserve">4. Calibración</w:t>
      </w:r>
    </w:p>
    <w:p>
      <w:pPr>
        <w:spacing w:after="120"/>
      </w:pPr>
      <w:r>
        <w:rPr>
          <w:b/>
          <w:bCs/>
        </w:rPr>
        <w:t xml:space="preserve">Priors.</w:t>
      </w:r>
      <w:r>
        <w:t xml:space="preserve"> Los cuatro tramos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p.D1p_t1</w:t>
      </w:r>
      <w:r>
        <w:t xml:space="preserve"> …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p.D1p_t4</w:t>
      </w:r>
      <w:r>
        <w:t xml:space="preserve"> tienen el mismo prior: una beta con media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p.D1p_base</w:t>
      </w:r>
      <w:r>
        <w:t xml:space="preserve"> = 0,039 y CV 0,75. Usan el valor previo al RTI, así que el RTI no entra a los priors. El gradiente por edad de los posteriores sale solo de los targets.</w:t>
      </w:r>
    </w:p>
    <w:p>
      <w:pPr>
        <w:keepNext/>
        <w:spacing w:after="100"/>
      </w:pPr>
      <w:r>
        <w:rPr>
          <w:b/>
          <w:bCs/>
        </w:rPr>
        <w:t xml:space="preserve">Verosimilitud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calc_log_lik</w:t>
      </w:r>
      <w:r>
        <w:t xml:space="preserve">). En cada muestra: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copia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inputs_cg_MarkovModel</w:t>
      </w:r>
      <w:r>
        <w:t xml:space="preserve">, que incluye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con RTI.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expand_p.D1p(t1, t2, t3, t4)</w:t>
      </w:r>
      <w:r>
        <w:t xml:space="preserve"> arma un vector de 82 valores: t1 en los ciclos 1–42 (18–59 años), t2 en 43–52 (60–69), t3 en 53–62 (70–79) y t4 en 63–82 (80–99).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Ese vector sobrescribe por completo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. El vector RTI se descarta; no se divide ni se promedia.</w:t>
      </w:r>
    </w:p>
    <w:p>
      <w:pPr>
        <w:spacing w:after="120"/>
      </w:pPr>
      <w:r>
        <w:rPr>
          <w:b/>
          <w:bCs/>
        </w:rPr>
        <w:t xml:space="preserve">Restos del código antiguo.</w:t>
      </w:r>
      <w:r>
        <w:t xml:space="preserve"> Las líneas comentadas que reconstruían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rti_vector</w:t>
      </w:r>
      <w:r>
        <w:t xml:space="preserve"> ya no se ejecutan. El nombre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params_no_rti</w:t>
      </w:r>
      <w:r>
        <w:t xml:space="preserve"> es heredado: hoy designa los parámetros calibrados que se asignan directo, sin expandir por tramo.</w:t>
      </w:r>
    </w:p>
    <w:p>
      <w:pPr>
        <w:spacing w:after="120"/>
      </w:pPr>
      <w:r>
        <w:rPr>
          <w:b/>
          <w:bCs/>
        </w:rPr>
        <w:t xml:space="preserve">Propagación de incertidumbre.</w:t>
      </w:r>
      <w:r>
        <w:t xml:space="preserve"> Usa el mismo patrón de expansión, así que tampoco usa RTI.</w:t>
      </w:r>
    </w:p>
    <w:p>
      <w:pPr>
        <w:pStyle w:val="Heading1"/>
      </w:pPr>
      <w:r>
        <w:t xml:space="preserve">5. Dónde actúa el RTI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1240"/>
        <w:gridCol w:w="4340"/>
      </w:tblGrid>
      <w:tr>
        <w:trPr>
          <w:cantSplit/>
          <w:tblHeader/>
        </w:trPr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¿Usa RTI?</w:t>
            </w:r>
          </w:p>
        </w:tc>
        <w:tc>
          <w:tcPr>
            <w:tcW w:type="dxa" w:w="4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Carga de inputs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Sí</w:t>
            </w:r>
          </w:p>
        </w:tc>
        <w:tc>
          <w:tcPr>
            <w:tcW w:type="dxa" w:w="4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Transforma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  <w:r>
              <w:rPr>
                <w:sz w:val="19"/>
                <w:szCs w:val="19"/>
              </w:rPr>
              <w:t xml:space="preserve">, única fila con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time_efect = "yes"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Priors de calibración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p.D1p_base</w:t>
            </w:r>
            <w:r>
              <w:rPr>
                <w:sz w:val="19"/>
                <w:szCs w:val="19"/>
              </w:rPr>
              <w:t xml:space="preserve"> (0,039, antes del RTI)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Verosimilitud / IMIS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expand_p.D1p()</w:t>
            </w:r>
            <w:r>
              <w:rPr>
                <w:sz w:val="19"/>
                <w:szCs w:val="19"/>
              </w:rPr>
              <w:t xml:space="preserve"> sobrescribe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Propagación de incertidumbre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Mismo patrón de expansión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Modelo base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runs_gc_markov(inputs_cg_MarkovModel)</w:t>
            </w:r>
            <w:r>
              <w:rPr>
                <w:sz w:val="19"/>
                <w:szCs w:val="19"/>
              </w:rPr>
              <w:t xml:space="preserve">, traza pre-calibración)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Sí</w:t>
            </w:r>
          </w:p>
        </w:tc>
        <w:tc>
          <w:tcPr>
            <w:tcW w:type="dxa" w:w="4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Usa 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  <w:r>
              <w:rPr>
                <w:sz w:val="19"/>
                <w:szCs w:val="19"/>
              </w:rPr>
              <w:t xml:space="preserve"> de la carga</w:t>
            </w:r>
          </w:p>
        </w:tc>
      </w:tr>
      <w:tr>
        <w:trPr>
          <w:cantSplit/>
          <w:tblHeader w:val="false"/>
        </w:trPr>
        <w:tc>
          <w:tcPr>
            <w:tcW w:type="dxa" w:w="3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Arrays de estrategias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verificar</w:t>
            </w:r>
          </w:p>
        </w:tc>
        <w:tc>
          <w:tcPr>
            <w:tcW w:type="dxa" w:w="4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Sí, si toman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p.D1p</w:t>
            </w:r>
            <w:r>
              <w:rPr>
                <w:sz w:val="19"/>
                <w:szCs w:val="19"/>
              </w:rPr>
              <w:t xml:space="preserve"> del entorno en vez de los posteriores</w:t>
            </w:r>
          </w:p>
        </w:tc>
      </w:tr>
    </w:tbl>
    <w:p>
      <w:pPr>
        <w:pStyle w:val="Heading1"/>
      </w:pPr>
      <w:r>
        <w:t xml:space="preserve">6. Si se elimina el RTI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p.D1p_base</w:t>
      </w:r>
      <w:r>
        <w:t xml:space="preserve"> existe solo porque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tiene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time_efect = "yes"</w:t>
      </w:r>
      <w:r>
        <w:t xml:space="preserve">. Si se cambia a "no",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p.D1p_base</w:t>
      </w:r>
      <w:r>
        <w:t xml:space="preserve"> deja de existir, y el bloque de priors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val_D1p &lt;- inputs_cg_MarkovModel[["p.D1p_base"]]</w:t>
      </w:r>
      <w:r>
        <w:t xml:space="preserve">) queda vacío y falla. Hay que hacer dos cambios juntos: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el Excel: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time_efect</w:t>
      </w:r>
      <w:r>
        <w:t xml:space="preserve">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a "no". Así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queda como escalar 0,039.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los priors: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val_D1p</w:t>
      </w:r>
      <w:r>
        <w:t xml:space="preserve"> debe leer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en vez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p.D1p_base</w:t>
      </w:r>
      <w:r>
        <w:t xml:space="preserve">.</w:t>
      </w:r>
    </w:p>
    <w:p>
      <w:pPr>
        <w:spacing w:after="120"/>
      </w:pPr>
      <w:r>
        <w:t xml:space="preserve">Con eso, los priors y la calibración quedan idénticos, y el modelo base pasa a usar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p.D1p</w:t>
      </w:r>
      <w:r>
        <w:t xml:space="preserve"> = 0,039 constante en todas las edades.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RTI y la probabilidad p.D1p</dc:title>
  <dc:creator>Cris</dc:creator>
  <cp:lastModifiedBy>Un-named</cp:lastModifiedBy>
  <cp:revision>1</cp:revision>
  <dcterms:created xsi:type="dcterms:W3CDTF">2026-10-08T14:43:02.457Z</dcterms:created>
  <dcterms:modified xsi:type="dcterms:W3CDTF">2026-10-08T14:43:02.457Z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