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4F46E5"/>
          <w:spacing w:val="40"/>
          <w:sz w:val="26"/>
          <w:szCs w:val="26"/>
        </w:rPr>
        <w:t xml:space="preserve">LEOGIN</w:t>
      </w:r>
    </w:p>
    <w:p>
      <w:pPr>
        <w:spacing w:before="300"/>
        <w:jc w:val="center"/>
      </w:pPr>
      <w:r>
        <w:rPr>
          <w:b/>
          <w:bCs/>
          <w:color w:val="111827"/>
          <w:sz w:val="52"/>
          <w:szCs w:val="52"/>
        </w:rPr>
        <w:t xml:space="preserve">Rediseño de Planes y Precios</w:t>
      </w:r>
    </w:p>
    <w:p>
      <w:pPr>
        <w:spacing w:after="900" w:before="200"/>
        <w:jc w:val="center"/>
      </w:pPr>
      <w:r>
        <w:rPr>
          <w:color w:val="6B7280"/>
          <w:sz w:val="26"/>
          <w:szCs w:val="26"/>
        </w:rPr>
        <w:t xml:space="preserve">Arquitectura modular, sin cobro por volumen de ventas</w:t>
      </w:r>
    </w:p>
    <w:p>
      <w:pPr>
        <w:spacing w:before="200"/>
        <w:jc w:val="center"/>
      </w:pPr>
      <w:r>
        <w:rPr>
          <w:b/>
          <w:bCs/>
          <w:sz w:val="21"/>
          <w:szCs w:val="21"/>
        </w:rPr>
        <w:t xml:space="preserve">Preparado para Leonardo</w:t>
      </w:r>
    </w:p>
    <w:p>
      <w:pPr>
        <w:spacing w:before="80"/>
        <w:jc w:val="center"/>
      </w:pPr>
      <w:r>
        <w:rPr>
          <w:color w:val="6B7280"/>
          <w:sz w:val="20"/>
          <w:szCs w:val="20"/>
        </w:rPr>
        <w:t xml:space="preserve">12 de julio de 2026</w:t>
      </w:r>
    </w:p>
    <w:p>
      <w:r>
        <w:br w:type="page"/>
      </w:r>
    </w:p>
    <w:p>
      <w:pPr>
        <w:pStyle w:val="Heading1"/>
        <w:spacing w:after="200" w:before="420"/>
      </w:pPr>
      <w:r>
        <w:t xml:space="preserve">Resumen ejecutivo</w:t>
      </w:r>
    </w:p>
    <w:p>
      <w:pPr>
        <w:spacing w:after="160" w:line="300"/>
      </w:pPr>
      <w:r>
        <w:rPr>
          <w:sz w:val="21"/>
          <w:szCs w:val="21"/>
        </w:rPr>
        <w:t xml:space="preserve">Leogin cobraba en función de cuánto vendía cada restaurante: topes de GMV por plan y un plan "Variable" al 1% de las ventas. Esta propuesta elimina por completo ese modelo y lo reemplaza por precio fijo, validado contra ocho competidores directos que operan bajo el mismo esquema.</w:t>
      </w:r>
    </w:p>
    <w:p>
      <w:pPr>
        <w:spacing w:after="160" w:line="300"/>
      </w:pPr>
      <w:r>
        <w:rPr>
          <w:sz w:val="21"/>
          <w:szCs w:val="21"/>
        </w:rPr>
        <w:t xml:space="preserve">La nueva arquitectura tiene dos piezas: cuatro planes de precio fijo que cubren desde un menú digital simple hasta una operación completa, y ocho módulos que se compran sueltos sobre cualquier plan. Cada restaurante arma exactamente lo que necesita — nadie paga por herramientas que no usa, y nadie ve su factura subir porque tuvo un buen mes.</w:t>
      </w:r>
    </w:p>
    <w:p>
      <w:pPr>
        <w:spacing w:after="160" w:line="300"/>
      </w:pPr>
      <w:r>
        <w:rPr>
          <w:b/>
          <w:bCs/>
          <w:sz w:val="21"/>
          <w:szCs w:val="21"/>
        </w:rPr>
        <w:t xml:space="preserve">Ya está implementado en el código de Leogin </w:t>
      </w:r>
      <w:r>
        <w:rPr>
          <w:sz w:val="21"/>
          <w:szCs w:val="21"/>
        </w:rPr>
        <w:t xml:space="preserve">(planes, módulos, descuentos por sucursal, panel de precios del super admin, página pública /planes) y verificado con el compilador de TypeScript. Falta un solo paso manual: aplicar la migración de base de datos en producción — se explica en </w:t>
      </w:r>
      <w:r>
        <w:rPr>
          <w:b/>
          <w:bCs/>
          <w:sz w:val="21"/>
          <w:szCs w:val="21"/>
        </w:rPr>
        <w:t xml:space="preserve">Próximos pasos</w:t>
      </w:r>
      <w:r>
        <w:rPr>
          <w:sz w:val="21"/>
          <w:szCs w:val="21"/>
        </w:rPr>
        <w:t xml:space="preserve"> al final de este documento.</w:t>
      </w:r>
    </w:p>
    <w:p>
      <w:pPr>
        <w:spacing w:after="160" w:line="300"/>
      </w:pPr>
      <w:r>
        <w:rPr>
          <w:b/>
          <w:bCs/>
          <w:sz w:val="21"/>
          <w:szCs w:val="21"/>
        </w:rPr>
        <w:t xml:space="preserve">Ningún cliente actual sufre una subida de precio por este cambio: </w:t>
      </w:r>
      <w:r>
        <w:rPr>
          <w:sz w:val="21"/>
          <w:szCs w:val="21"/>
        </w:rPr>
        <w:t xml:space="preserve">los restaurantes que hoy pagan de más quedan con su tarifa actual congelada hasta que tú decidas avisarles del cambio; los que pagan de menos simplemente bajan.</w:t>
      </w:r>
    </w:p>
    <w:p>
      <w:pPr>
        <w:spacing w:after="160" w:line="300"/>
      </w:pPr>
      <w:r>
        <w:rPr>
          <w:b/>
          <w:bCs/>
          <w:sz w:val="21"/>
          <w:szCs w:val="21"/>
        </w:rPr>
        <w:t xml:space="preserve">Actualización (12 jul 2026): Pro en pausa. </w:t>
      </w:r>
      <w:r>
        <w:rPr>
          <w:sz w:val="21"/>
          <w:szCs w:val="21"/>
        </w:rPr>
        <w:t xml:space="preserve">El plan Pro y los módulos de Proveedores y Factura Electrónica (FEL) están construidos y listos en el código, pero por ahora quedan fuera de lo que se le ofrece a clientes — decisión tuya, mientras esas dos funciones terminan de estar listas. Todo lo demás de este documento (Básico, Estándar, Premium, descuentos por sucursal) está activo y disponible hoy. Se marca "(pausado)" donde aplica.</w:t>
      </w:r>
    </w:p>
    <w:p>
      <w:pPr>
        <w:pStyle w:val="Heading1"/>
        <w:spacing w:after="200" w:before="420"/>
      </w:pPr>
      <w:r>
        <w:t xml:space="preserve">1. Qué tiene que cambiar del modelo actual</w:t>
      </w:r>
    </w:p>
    <w:p>
      <w:pPr>
        <w:pStyle w:val="Heading2"/>
        <w:spacing w:after="140" w:before="300"/>
      </w:pPr>
      <w:r>
        <w:t xml:space="preserve">1.1 — Cobro proporcional a las ventas</w:t>
      </w:r>
    </w:p>
    <w:p>
      <w:pPr>
        <w:spacing w:after="160" w:line="300"/>
      </w:pPr>
      <w:r>
        <w:rPr>
          <w:sz w:val="21"/>
          <w:szCs w:val="21"/>
        </w:rPr>
        <w:t xml:space="preserve">Cada plan tenía un tope de GMV (volumen de ventas mensual) y, al superarlo, el sistema empujaba al restaurante a un plan más caro o a "Variable", que cobraba 1% de todo lo que vendía. En la práctica esto castiga el éxito: un restaurante que factura más por trabajar bien paga más por Leogin sin haber pedido ninguna herramienta nueva. También hace la factura impredecible — un mes bueno en ventas es un mes caro en software, justo cuando el dueño menos lo espera.</w:t>
      </w:r>
    </w:p>
    <w:p>
      <w:pPr>
        <w:pStyle w:val="Heading2"/>
        <w:spacing w:after="140" w:before="300"/>
      </w:pPr>
      <w:r>
        <w:t xml:space="preserve">1.2 — Siete planes sin una razón clara para elegir entre ellos</w:t>
      </w:r>
    </w:p>
    <w:p>
      <w:pPr>
        <w:spacing w:after="160" w:line="300"/>
      </w:pPr>
      <w:r>
        <w:rPr>
          <w:sz w:val="21"/>
          <w:szCs w:val="21"/>
        </w:rPr>
        <w:t xml:space="preserve">El sistema anterior tenía BASICO, ESTANDAR, PREMIUM, PREMIUM_PRO, PREMIUM_ULTRA, ALTO_VOLUMEN y VARIABLE. La diferencia entre varios de ellos era solo el tope de GMV, no una función nueva — dos restaurantes con las mismas necesidades podían pagar distinto según cuánto vendieran, no según qué usaran.</w:t>
      </w:r>
    </w:p>
    <w:p>
      <w:pPr>
        <w:pStyle w:val="Heading2"/>
        <w:spacing w:after="140" w:before="300"/>
      </w:pPr>
      <w:r>
        <w:t xml:space="preserve">1.3 — El precio vivía en tres lugares distintos del código</w:t>
      </w:r>
    </w:p>
    <w:p>
      <w:pPr>
        <w:spacing w:after="160" w:line="300"/>
      </w:pPr>
      <w:r>
        <w:rPr>
          <w:sz w:val="21"/>
          <w:szCs w:val="21"/>
        </w:rPr>
        <w:t xml:space="preserve">plans.ts, la lógica de facturación (billing.ts) y el editor del super admin (plan-editor.tsx) cada uno tenía su propia copia de los precios. Cambiar una tarifa significaba actualizar tres archivos a mano — con riesgo real de que quedaran desincronizados, cobrando distinto a lo que se mostraba en pantalla. La nueva implementación deja plans.ts como única fuente de verdad; todo lo demás lo deriva automáticamente.</w:t>
      </w:r>
    </w:p>
    <w:p>
      <w:pPr>
        <w:pStyle w:val="Heading1"/>
        <w:spacing w:after="200" w:before="420"/>
      </w:pPr>
      <w:r>
        <w:t xml:space="preserve">2. Qué hace la competencia</w:t>
      </w:r>
    </w:p>
    <w:p>
      <w:pPr>
        <w:spacing w:after="160" w:line="300"/>
      </w:pPr>
      <w:r>
        <w:rPr>
          <w:sz w:val="21"/>
          <w:szCs w:val="21"/>
        </w:rPr>
        <w:t xml:space="preserve">Se investigaron ocho plataformas que compiten directa o indirectamente con Leogin: menús digitales, pedidos en línea y POS para restaurantes, tanto en LATAM como en EE.UU.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50"/>
        <w:gridCol w:w="2700"/>
      </w:tblGrid>
      <w:tr>
        <w:trPr>
          <w:tblHeader/>
        </w:trPr>
        <w:tc>
          <w:tcPr>
            <w:tcW w:type="dxa" w:w="2000"/>
            <w:shd w:fill="4F46E5" w:val="clear"/>
            <w:tcMar>
              <w:top w:type="dxa" w:w="90"/>
              <w:left w:type="dxa" w:w="110"/>
              <w:bottom w:type="dxa" w:w="90"/>
              <w:right w:type="dxa" w:w="110"/>
            </w:tcMar>
            <w:vAlign w:val="center"/>
          </w:tcPr>
          <w:p>
            <w:pPr>
              <w:jc w:val="left"/>
            </w:pPr>
            <w:r>
              <w:rPr>
                <w:b/>
                <w:bCs/>
                <w:color w:val="FFFFFF"/>
                <w:sz w:val="19"/>
                <w:szCs w:val="19"/>
              </w:rPr>
              <w:t xml:space="preserve">Competidor</w:t>
            </w:r>
          </w:p>
        </w:tc>
        <w:tc>
          <w:tcPr>
            <w:tcW w:type="dxa" w:w="2300"/>
            <w:shd w:fill="4F46E5" w:val="clear"/>
            <w:tcMar>
              <w:top w:type="dxa" w:w="90"/>
              <w:left w:type="dxa" w:w="110"/>
              <w:bottom w:type="dxa" w:w="90"/>
              <w:right w:type="dxa" w:w="110"/>
            </w:tcMar>
            <w:vAlign w:val="center"/>
          </w:tcPr>
          <w:p>
            <w:pPr>
              <w:jc w:val="left"/>
            </w:pPr>
            <w:r>
              <w:rPr>
                <w:b/>
                <w:bCs/>
                <w:color w:val="FFFFFF"/>
                <w:sz w:val="19"/>
                <w:szCs w:val="19"/>
              </w:rPr>
              <w:t xml:space="preserve">Modelo de precio</w:t>
            </w:r>
          </w:p>
        </w:tc>
        <w:tc>
          <w:tcPr>
            <w:tcW w:type="dxa" w:w="2350"/>
            <w:shd w:fill="4F46E5" w:val="clear"/>
            <w:tcMar>
              <w:top w:type="dxa" w:w="90"/>
              <w:left w:type="dxa" w:w="110"/>
              <w:bottom w:type="dxa" w:w="90"/>
              <w:right w:type="dxa" w:w="110"/>
            </w:tcMar>
            <w:vAlign w:val="center"/>
          </w:tcPr>
          <w:p>
            <w:pPr>
              <w:jc w:val="left"/>
            </w:pPr>
            <w:r>
              <w:rPr>
                <w:b/>
                <w:bCs/>
                <w:color w:val="FFFFFF"/>
                <w:sz w:val="19"/>
                <w:szCs w:val="19"/>
              </w:rPr>
              <w:t xml:space="preserve">Rango mensual</w:t>
            </w:r>
          </w:p>
        </w:tc>
        <w:tc>
          <w:tcPr>
            <w:tcW w:type="dxa" w:w="2700"/>
            <w:shd w:fill="4F46E5" w:val="clear"/>
            <w:tcMar>
              <w:top w:type="dxa" w:w="90"/>
              <w:left w:type="dxa" w:w="110"/>
              <w:bottom w:type="dxa" w:w="90"/>
              <w:right w:type="dxa" w:w="110"/>
            </w:tcMar>
            <w:vAlign w:val="center"/>
          </w:tcPr>
          <w:p>
            <w:pPr>
              <w:jc w:val="left"/>
            </w:pPr>
            <w:r>
              <w:rPr>
                <w:b/>
                <w:bCs/>
                <w:color w:val="FFFFFF"/>
                <w:sz w:val="19"/>
                <w:szCs w:val="19"/>
              </w:rPr>
              <w:t xml:space="preserve">¿Cobra % de ventas?</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OlaClick</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Suscripción fija por plan</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Varía por país y plan</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 — se promociona explícitamente "sin comisiones"</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GloriaFood *</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Base gratis + add-ons fijos por función</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$9–$59 /mes por add-on</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Waiterio</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$39–$159 /mes</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ChowNow</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 procesamiento de tarjeta</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$229–$449 /mes + setup $119–$499</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 (2.95%+$0.29 es procesamiento bancario, no comisión de plataforma)</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Popmenu</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 módulos</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$179–$499 /mes (+$50 pedidos, +$300 por sucursal)</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Owner.com</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Fijo, con una opción híbrida de entrada</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$249/mes+5% por pedido, o $499/mes sin comisión</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Solo como opción de entrada — el proveedor recomienda migrar al plan fijo al crecer</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Fudo</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por sucursal</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US$39–US$130 /mes/sucursal</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w:t>
            </w:r>
          </w:p>
        </w:tc>
      </w:tr>
      <w:tr>
        <w:tc>
          <w:tcPr>
            <w:tcW w:type="dxa" w:w="2000"/>
            <w:tcMar>
              <w:top w:type="dxa" w:w="90"/>
              <w:left w:type="dxa" w:w="110"/>
              <w:bottom w:type="dxa" w:w="90"/>
              <w:right w:type="dxa" w:w="110"/>
            </w:tcMar>
            <w:vAlign w:val="center"/>
          </w:tcPr>
          <w:p>
            <w:pPr>
              <w:jc w:val="left"/>
            </w:pPr>
            <w:r>
              <w:rPr>
                <w:b w:val="false"/>
                <w:bCs w:val="false"/>
                <w:color w:val="111827"/>
                <w:sz w:val="19"/>
                <w:szCs w:val="19"/>
              </w:rPr>
              <w:t xml:space="preserve">Toast</w:t>
            </w:r>
          </w:p>
        </w:tc>
        <w:tc>
          <w:tcPr>
            <w:tcW w:type="dxa" w:w="2300"/>
            <w:tcMar>
              <w:top w:type="dxa" w:w="90"/>
              <w:left w:type="dxa" w:w="110"/>
              <w:bottom w:type="dxa" w:w="90"/>
              <w:right w:type="dxa" w:w="110"/>
            </w:tcMar>
            <w:vAlign w:val="center"/>
          </w:tcPr>
          <w:p>
            <w:pPr>
              <w:jc w:val="left"/>
            </w:pPr>
            <w:r>
              <w:rPr>
                <w:b w:val="false"/>
                <w:bCs w:val="false"/>
                <w:color w:val="111827"/>
                <w:sz w:val="19"/>
                <w:szCs w:val="19"/>
              </w:rPr>
              <w:t xml:space="preserve">Planes fijos + módulos + procesamiento</w:t>
            </w:r>
          </w:p>
        </w:tc>
        <w:tc>
          <w:tcPr>
            <w:tcW w:type="dxa" w:w="2350"/>
            <w:tcMar>
              <w:top w:type="dxa" w:w="90"/>
              <w:left w:type="dxa" w:w="110"/>
              <w:bottom w:type="dxa" w:w="90"/>
              <w:right w:type="dxa" w:w="110"/>
            </w:tcMar>
            <w:vAlign w:val="center"/>
          </w:tcPr>
          <w:p>
            <w:pPr>
              <w:jc w:val="left"/>
            </w:pPr>
            <w:r>
              <w:rPr>
                <w:b w:val="false"/>
                <w:bCs w:val="false"/>
                <w:color w:val="111827"/>
                <w:sz w:val="19"/>
                <w:szCs w:val="19"/>
              </w:rPr>
              <w:t xml:space="preserve">$0–$165+ /mes + módulos $50–$165 c/u</w:t>
            </w:r>
          </w:p>
        </w:tc>
        <w:tc>
          <w:tcPr>
            <w:tcW w:type="dxa" w:w="2700"/>
            <w:tcMar>
              <w:top w:type="dxa" w:w="90"/>
              <w:left w:type="dxa" w:w="110"/>
              <w:bottom w:type="dxa" w:w="90"/>
              <w:right w:type="dxa" w:w="110"/>
            </w:tcMar>
            <w:vAlign w:val="center"/>
          </w:tcPr>
          <w:p>
            <w:pPr>
              <w:jc w:val="left"/>
            </w:pPr>
            <w:r>
              <w:rPr>
                <w:b w:val="false"/>
                <w:bCs w:val="false"/>
                <w:color w:val="111827"/>
                <w:sz w:val="19"/>
                <w:szCs w:val="19"/>
              </w:rPr>
              <w:t xml:space="preserve">No (2.49–2.99% es procesamiento bancario, no comisión de plataforma)</w:t>
            </w:r>
          </w:p>
        </w:tc>
      </w:tr>
    </w:tbl>
    <w:p>
      <w:pPr>
        <w:spacing w:after="220" w:before="60"/>
      </w:pPr>
      <w:r>
        <w:rPr>
          <w:i/>
          <w:iCs/>
          <w:color w:val="6B7280"/>
          <w:sz w:val="16"/>
          <w:szCs w:val="16"/>
        </w:rPr>
        <w:t xml:space="preserve">Precios consultados en julio de 2026 en los sitios oficiales de cada proveedor y comparativas de mercado (G2, Capterra, GetApp, TrustRadius). Los montos en USD son de referencia — cada proveedor ajusta por país y tipo de cambio. * Oracle anunció el retiro de GloriaFood: deja de operar el 30 de abril de 2027.</w:t>
      </w:r>
    </w:p>
    <w:p>
      <w:pPr>
        <w:spacing w:after="160" w:line="300"/>
      </w:pPr>
      <w:r>
        <w:rPr>
          <w:b/>
          <w:bCs/>
          <w:sz w:val="21"/>
          <w:szCs w:val="21"/>
        </w:rPr>
        <w:t xml:space="preserve">Conclusión: </w:t>
      </w:r>
      <w:r>
        <w:rPr>
          <w:sz w:val="21"/>
          <w:szCs w:val="21"/>
        </w:rPr>
        <w:t xml:space="preserve">ningún competidor evaluado condiciona su tarifa base al volumen de ventas del restaurante. El único caso cercano es Owner.com, que ofrece un 5% por pedido solo como plan de entrada de menor compromiso — y su propia página de precios recomienda pasarse al plan fijo apenas las ventas en línea superan ~$5,000/mes, exactamente el argumento a favor de un modelo fijo desde el principio. El procesamiento de tarjeta (2.5–3%) que aparece en Toast y ChowNow es un costo bancario estándar que paga cualquier negocio que acepta tarjetas, cobrado por el procesador de pagos — no es una comisión de la plataforma de software, y es distinto de lo que Leogin cobraba antes.</w:t>
      </w:r>
    </w:p>
    <w:p>
      <w:pPr>
        <w:pStyle w:val="Heading1"/>
        <w:spacing w:after="200" w:before="420"/>
      </w:pPr>
      <w:r>
        <w:t xml:space="preserve">3. La nueva arquitectura: piso fijo + módulos a la carta</w:t>
      </w:r>
    </w:p>
    <w:p>
      <w:pPr>
        <w:spacing w:after="160" w:line="300"/>
      </w:pPr>
      <w:r>
        <w:rPr>
          <w:sz w:val="21"/>
          <w:szCs w:val="21"/>
        </w:rPr>
        <w:t xml:space="preserve">La idea es simple: cada plan es un piso de funciones fijas por un precio fijo. Encima, ocho módulos se compran sueltos sobre cualquier plan — así el restaurante arma exactamente lo que necesita, sin pagar por lo que no usa, y siempre entendiendo por qué paga lo que paga.</w:t>
      </w:r>
    </w:p>
    <w:p>
      <w:pPr>
        <w:pStyle w:val="Heading2"/>
        <w:spacing w:after="140" w:before="300"/>
      </w:pPr>
      <w:r>
        <w:t xml:space="preserve">3.1 — Los cuatro planes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50"/>
        <w:gridCol w:w="1550"/>
        <w:gridCol w:w="1300"/>
        <w:gridCol w:w="5050"/>
      </w:tblGrid>
      <w:tr>
        <w:trPr>
          <w:tblHeader/>
        </w:trPr>
        <w:tc>
          <w:tcPr>
            <w:tcW w:type="dxa" w:w="1450"/>
            <w:shd w:fill="4F46E5" w:val="clear"/>
            <w:tcMar>
              <w:top w:type="dxa" w:w="90"/>
              <w:left w:type="dxa" w:w="110"/>
              <w:bottom w:type="dxa" w:w="90"/>
              <w:right w:type="dxa" w:w="110"/>
            </w:tcMar>
            <w:vAlign w:val="center"/>
          </w:tcPr>
          <w:p>
            <w:pPr>
              <w:jc w:val="left"/>
            </w:pPr>
            <w:r>
              <w:rPr>
                <w:b/>
                <w:bCs/>
                <w:color w:val="FFFFFF"/>
                <w:sz w:val="19"/>
                <w:szCs w:val="19"/>
              </w:rPr>
              <w:t xml:space="preserve">Plan</w:t>
            </w:r>
          </w:p>
        </w:tc>
        <w:tc>
          <w:tcPr>
            <w:tcW w:type="dxa" w:w="1550"/>
            <w:shd w:fill="4F46E5" w:val="clear"/>
            <w:tcMar>
              <w:top w:type="dxa" w:w="90"/>
              <w:left w:type="dxa" w:w="110"/>
              <w:bottom w:type="dxa" w:w="90"/>
              <w:right w:type="dxa" w:w="110"/>
            </w:tcMar>
            <w:vAlign w:val="center"/>
          </w:tcPr>
          <w:p>
            <w:pPr>
              <w:jc w:val="left"/>
            </w:pPr>
            <w:r>
              <w:rPr>
                <w:b/>
                <w:bCs/>
                <w:color w:val="FFFFFF"/>
                <w:sz w:val="19"/>
                <w:szCs w:val="19"/>
              </w:rPr>
              <w:t xml:space="preserve">Precio</w:t>
            </w:r>
          </w:p>
        </w:tc>
        <w:tc>
          <w:tcPr>
            <w:tcW w:type="dxa" w:w="1300"/>
            <w:shd w:fill="4F46E5" w:val="clear"/>
            <w:tcMar>
              <w:top w:type="dxa" w:w="90"/>
              <w:left w:type="dxa" w:w="110"/>
              <w:bottom w:type="dxa" w:w="90"/>
              <w:right w:type="dxa" w:w="110"/>
            </w:tcMar>
            <w:vAlign w:val="center"/>
          </w:tcPr>
          <w:p>
            <w:pPr>
              <w:jc w:val="left"/>
            </w:pPr>
            <w:r>
              <w:rPr>
                <w:b/>
                <w:bCs/>
                <w:color w:val="FFFFFF"/>
                <w:sz w:val="19"/>
                <w:szCs w:val="19"/>
              </w:rPr>
              <w:t xml:space="preserve">Alta</w:t>
            </w:r>
          </w:p>
        </w:tc>
        <w:tc>
          <w:tcPr>
            <w:tcW w:type="dxa" w:w="5050"/>
            <w:shd w:fill="4F46E5" w:val="clear"/>
            <w:tcMar>
              <w:top w:type="dxa" w:w="90"/>
              <w:left w:type="dxa" w:w="110"/>
              <w:bottom w:type="dxa" w:w="90"/>
              <w:right w:type="dxa" w:w="110"/>
            </w:tcMar>
            <w:vAlign w:val="center"/>
          </w:tcPr>
          <w:p>
            <w:pPr>
              <w:jc w:val="left"/>
            </w:pPr>
            <w:r>
              <w:rPr>
                <w:b/>
                <w:bCs/>
                <w:color w:val="FFFFFF"/>
                <w:sz w:val="19"/>
                <w:szCs w:val="19"/>
              </w:rPr>
              <w:t xml:space="preserve">Para quién / qué incluye</w:t>
            </w:r>
          </w:p>
        </w:tc>
      </w:tr>
      <w:tr>
        <w:tc>
          <w:tcPr>
            <w:tcW w:type="dxa" w:w="1450"/>
            <w:tcMar>
              <w:top w:type="dxa" w:w="90"/>
              <w:left w:type="dxa" w:w="110"/>
              <w:bottom w:type="dxa" w:w="90"/>
              <w:right w:type="dxa" w:w="110"/>
            </w:tcMar>
            <w:vAlign w:val="center"/>
          </w:tcPr>
          <w:p>
            <w:pPr>
              <w:jc w:val="left"/>
            </w:pPr>
            <w:r>
              <w:rPr>
                <w:b/>
                <w:bCs/>
                <w:color w:val="111827"/>
                <w:sz w:val="19"/>
                <w:szCs w:val="19"/>
              </w:rPr>
              <w:t xml:space="preserve">Básico</w:t>
            </w:r>
          </w:p>
        </w:tc>
        <w:tc>
          <w:tcPr>
            <w:tcW w:type="dxa" w:w="1550"/>
            <w:tcMar>
              <w:top w:type="dxa" w:w="90"/>
              <w:left w:type="dxa" w:w="110"/>
              <w:bottom w:type="dxa" w:w="90"/>
              <w:right w:type="dxa" w:w="110"/>
            </w:tcMar>
            <w:vAlign w:val="center"/>
          </w:tcPr>
          <w:p>
            <w:pPr>
              <w:jc w:val="left"/>
            </w:pPr>
            <w:r>
              <w:rPr>
                <w:b w:val="false"/>
                <w:bCs w:val="false"/>
                <w:color w:val="111827"/>
                <w:sz w:val="19"/>
                <w:szCs w:val="19"/>
              </w:rPr>
              <w:t xml:space="preserve">Q149 /mes</w:t>
            </w:r>
          </w:p>
        </w:tc>
        <w:tc>
          <w:tcPr>
            <w:tcW w:type="dxa" w:w="1300"/>
            <w:tcMar>
              <w:top w:type="dxa" w:w="90"/>
              <w:left w:type="dxa" w:w="110"/>
              <w:bottom w:type="dxa" w:w="90"/>
              <w:right w:type="dxa" w:w="110"/>
            </w:tcMar>
            <w:vAlign w:val="center"/>
          </w:tcPr>
          <w:p>
            <w:pPr>
              <w:jc w:val="left"/>
            </w:pPr>
            <w:r>
              <w:rPr>
                <w:b w:val="false"/>
                <w:bCs w:val="false"/>
                <w:color w:val="111827"/>
                <w:sz w:val="19"/>
                <w:szCs w:val="19"/>
              </w:rPr>
              <w:t xml:space="preserve">Q0</w:t>
            </w:r>
          </w:p>
        </w:tc>
        <w:tc>
          <w:tcPr>
            <w:tcW w:type="dxa" w:w="5050"/>
            <w:tcMar>
              <w:top w:type="dxa" w:w="90"/>
              <w:left w:type="dxa" w:w="110"/>
              <w:bottom w:type="dxa" w:w="90"/>
              <w:right w:type="dxa" w:w="110"/>
            </w:tcMar>
            <w:vAlign w:val="center"/>
          </w:tcPr>
          <w:p>
            <w:pPr>
              <w:jc w:val="left"/>
            </w:pPr>
            <w:r>
              <w:rPr>
                <w:b w:val="false"/>
                <w:bCs w:val="false"/>
                <w:color w:val="111827"/>
                <w:sz w:val="19"/>
                <w:szCs w:val="19"/>
              </w:rPr>
              <w:t xml:space="preserve">Negocios chicos que solo necesitan mostrar su carta: menú digital con QR, productos ilimitados, marca propia. Sin pedidos en línea. 1 usuario.</w:t>
            </w:r>
          </w:p>
        </w:tc>
      </w:tr>
      <w:tr>
        <w:tc>
          <w:tcPr>
            <w:tcW w:type="dxa" w:w="1450"/>
            <w:tcMar>
              <w:top w:type="dxa" w:w="90"/>
              <w:left w:type="dxa" w:w="110"/>
              <w:bottom w:type="dxa" w:w="90"/>
              <w:right w:type="dxa" w:w="110"/>
            </w:tcMar>
            <w:vAlign w:val="center"/>
          </w:tcPr>
          <w:p>
            <w:pPr>
              <w:jc w:val="left"/>
            </w:pPr>
            <w:r>
              <w:rPr>
                <w:b/>
                <w:bCs/>
                <w:color w:val="111827"/>
                <w:sz w:val="19"/>
                <w:szCs w:val="19"/>
              </w:rPr>
              <w:t xml:space="preserve">Estándar</w:t>
            </w:r>
          </w:p>
        </w:tc>
        <w:tc>
          <w:tcPr>
            <w:tcW w:type="dxa" w:w="1550"/>
            <w:tcMar>
              <w:top w:type="dxa" w:w="90"/>
              <w:left w:type="dxa" w:w="110"/>
              <w:bottom w:type="dxa" w:w="90"/>
              <w:right w:type="dxa" w:w="110"/>
            </w:tcMar>
            <w:vAlign w:val="center"/>
          </w:tcPr>
          <w:p>
            <w:pPr>
              <w:jc w:val="left"/>
            </w:pPr>
            <w:r>
              <w:rPr>
                <w:b w:val="false"/>
                <w:bCs w:val="false"/>
                <w:color w:val="111827"/>
                <w:sz w:val="19"/>
                <w:szCs w:val="19"/>
              </w:rPr>
              <w:t xml:space="preserve">Q399 /mes</w:t>
            </w:r>
          </w:p>
        </w:tc>
        <w:tc>
          <w:tcPr>
            <w:tcW w:type="dxa" w:w="1300"/>
            <w:tcMar>
              <w:top w:type="dxa" w:w="90"/>
              <w:left w:type="dxa" w:w="110"/>
              <w:bottom w:type="dxa" w:w="90"/>
              <w:right w:type="dxa" w:w="110"/>
            </w:tcMar>
            <w:vAlign w:val="center"/>
          </w:tcPr>
          <w:p>
            <w:pPr>
              <w:jc w:val="left"/>
            </w:pPr>
            <w:r>
              <w:rPr>
                <w:b w:val="false"/>
                <w:bCs w:val="false"/>
                <w:color w:val="111827"/>
                <w:sz w:val="19"/>
                <w:szCs w:val="19"/>
              </w:rPr>
              <w:t xml:space="preserve">Q300</w:t>
            </w:r>
          </w:p>
        </w:tc>
        <w:tc>
          <w:tcPr>
            <w:tcW w:type="dxa" w:w="5050"/>
            <w:tcMar>
              <w:top w:type="dxa" w:w="90"/>
              <w:left w:type="dxa" w:w="110"/>
              <w:bottom w:type="dxa" w:w="90"/>
              <w:right w:type="dxa" w:w="110"/>
            </w:tcMar>
            <w:vAlign w:val="center"/>
          </w:tcPr>
          <w:p>
            <w:pPr>
              <w:jc w:val="left"/>
            </w:pPr>
            <w:r>
              <w:rPr>
                <w:b w:val="false"/>
                <w:bCs w:val="false"/>
                <w:color w:val="111827"/>
                <w:sz w:val="19"/>
                <w:szCs w:val="19"/>
              </w:rPr>
              <w:t xml:space="preserve">Restaurantes que ya quieren vender en línea: pedidos para llevar o a domicilio, aviso por WhatsApp, notificaciones en tiempo real. 2 usuarios.</w:t>
            </w:r>
          </w:p>
        </w:tc>
      </w:tr>
      <w:tr>
        <w:tc>
          <w:tcPr>
            <w:tcW w:type="dxa" w:w="1450"/>
            <w:tcMar>
              <w:top w:type="dxa" w:w="90"/>
              <w:left w:type="dxa" w:w="110"/>
              <w:bottom w:type="dxa" w:w="90"/>
              <w:right w:type="dxa" w:w="110"/>
            </w:tcMar>
            <w:vAlign w:val="center"/>
          </w:tcPr>
          <w:p>
            <w:pPr>
              <w:jc w:val="left"/>
            </w:pPr>
            <w:r>
              <w:rPr>
                <w:b/>
                <w:bCs/>
                <w:color w:val="3730A3"/>
                <w:sz w:val="19"/>
                <w:szCs w:val="19"/>
              </w:rPr>
              <w:t xml:space="preserve">Premium</w:t>
            </w:r>
          </w:p>
        </w:tc>
        <w:tc>
          <w:tcPr>
            <w:tcW w:type="dxa" w:w="1550"/>
            <w:tcMar>
              <w:top w:type="dxa" w:w="90"/>
              <w:left w:type="dxa" w:w="110"/>
              <w:bottom w:type="dxa" w:w="90"/>
              <w:right w:type="dxa" w:w="110"/>
            </w:tcMar>
            <w:vAlign w:val="center"/>
          </w:tcPr>
          <w:p>
            <w:pPr>
              <w:jc w:val="left"/>
            </w:pPr>
            <w:r>
              <w:rPr>
                <w:b w:val="false"/>
                <w:bCs w:val="false"/>
                <w:color w:val="111827"/>
                <w:sz w:val="19"/>
                <w:szCs w:val="19"/>
              </w:rPr>
              <w:t xml:space="preserve">Q749 /mes</w:t>
            </w:r>
          </w:p>
        </w:tc>
        <w:tc>
          <w:tcPr>
            <w:tcW w:type="dxa" w:w="1300"/>
            <w:tcMar>
              <w:top w:type="dxa" w:w="90"/>
              <w:left w:type="dxa" w:w="110"/>
              <w:bottom w:type="dxa" w:w="90"/>
              <w:right w:type="dxa" w:w="110"/>
            </w:tcMar>
            <w:vAlign w:val="center"/>
          </w:tcPr>
          <w:p>
            <w:pPr>
              <w:jc w:val="left"/>
            </w:pPr>
            <w:r>
              <w:rPr>
                <w:b w:val="false"/>
                <w:bCs w:val="false"/>
                <w:color w:val="111827"/>
                <w:sz w:val="19"/>
                <w:szCs w:val="19"/>
              </w:rPr>
              <w:t xml:space="preserve">Q300</w:t>
            </w:r>
          </w:p>
        </w:tc>
        <w:tc>
          <w:tcPr>
            <w:tcW w:type="dxa" w:w="5050"/>
            <w:tcMar>
              <w:top w:type="dxa" w:w="90"/>
              <w:left w:type="dxa" w:w="110"/>
              <w:bottom w:type="dxa" w:w="90"/>
              <w:right w:type="dxa" w:w="110"/>
            </w:tcMar>
            <w:vAlign w:val="center"/>
          </w:tcPr>
          <w:p>
            <w:pPr>
              <w:jc w:val="left"/>
            </w:pPr>
            <w:r>
              <w:rPr>
                <w:b w:val="false"/>
                <w:bCs w:val="false"/>
                <w:color w:val="111827"/>
                <w:sz w:val="19"/>
                <w:szCs w:val="19"/>
              </w:rPr>
              <w:t xml:space="preserve">El plan más completo para operación diaria: los 3 canales de pedido, panel de mesero, personalización total, finanzas/inventario/analítica, y 6 de los 8 módulos incluidos gratis. Usuarios ilimitados. Participa del descuento "Plan a tu medida".</w:t>
            </w:r>
          </w:p>
        </w:tc>
      </w:tr>
      <w:tr>
        <w:tc>
          <w:tcPr>
            <w:tcW w:type="dxa" w:w="1450"/>
            <w:tcMar>
              <w:top w:type="dxa" w:w="90"/>
              <w:left w:type="dxa" w:w="110"/>
              <w:bottom w:type="dxa" w:w="90"/>
              <w:right w:type="dxa" w:w="110"/>
            </w:tcMar>
            <w:vAlign w:val="center"/>
          </w:tcPr>
          <w:p>
            <w:pPr>
              <w:jc w:val="left"/>
            </w:pPr>
            <w:r>
              <w:rPr>
                <w:b/>
                <w:bCs/>
                <w:color w:val="6B7280"/>
                <w:sz w:val="19"/>
                <w:szCs w:val="19"/>
              </w:rPr>
              <w:t xml:space="preserve">Pro (pausado)</w:t>
            </w:r>
          </w:p>
        </w:tc>
        <w:tc>
          <w:tcPr>
            <w:tcW w:type="dxa" w:w="1550"/>
            <w:tcMar>
              <w:top w:type="dxa" w:w="90"/>
              <w:left w:type="dxa" w:w="110"/>
              <w:bottom w:type="dxa" w:w="90"/>
              <w:right w:type="dxa" w:w="110"/>
            </w:tcMar>
            <w:vAlign w:val="center"/>
          </w:tcPr>
          <w:p>
            <w:pPr>
              <w:jc w:val="left"/>
            </w:pPr>
            <w:r>
              <w:rPr>
                <w:b w:val="false"/>
                <w:bCs w:val="false"/>
                <w:color w:val="6B7280"/>
                <w:sz w:val="19"/>
                <w:szCs w:val="19"/>
              </w:rPr>
              <w:t xml:space="preserve">Q999 /mes</w:t>
            </w:r>
          </w:p>
        </w:tc>
        <w:tc>
          <w:tcPr>
            <w:tcW w:type="dxa" w:w="1300"/>
            <w:tcMar>
              <w:top w:type="dxa" w:w="90"/>
              <w:left w:type="dxa" w:w="110"/>
              <w:bottom w:type="dxa" w:w="90"/>
              <w:right w:type="dxa" w:w="110"/>
            </w:tcMar>
            <w:vAlign w:val="center"/>
          </w:tcPr>
          <w:p>
            <w:pPr>
              <w:jc w:val="left"/>
            </w:pPr>
            <w:r>
              <w:rPr>
                <w:b w:val="false"/>
                <w:bCs w:val="false"/>
                <w:color w:val="6B7280"/>
                <w:sz w:val="19"/>
                <w:szCs w:val="19"/>
              </w:rPr>
              <w:t xml:space="preserve">Q0</w:t>
            </w:r>
          </w:p>
        </w:tc>
        <w:tc>
          <w:tcPr>
            <w:tcW w:type="dxa" w:w="5050"/>
            <w:tcMar>
              <w:top w:type="dxa" w:w="90"/>
              <w:left w:type="dxa" w:w="110"/>
              <w:bottom w:type="dxa" w:w="90"/>
              <w:right w:type="dxa" w:w="110"/>
            </w:tcMar>
            <w:vAlign w:val="center"/>
          </w:tcPr>
          <w:p>
            <w:pPr>
              <w:jc w:val="left"/>
            </w:pPr>
            <w:r>
              <w:rPr>
                <w:b w:val="false"/>
                <w:bCs w:val="false"/>
                <w:color w:val="6B7280"/>
                <w:sz w:val="19"/>
                <w:szCs w:val="19"/>
              </w:rPr>
              <w:t xml:space="preserve">Construido y listo, pero no se ofrece todavía: Todo Premium + Proveedores + Factura Electrónica + soporte prioritario. Se activa cuando esas dos funciones estén terminadas — hoy solo tú puedes asignarlo manualmente desde el panel de super admin.</w:t>
            </w:r>
          </w:p>
        </w:tc>
      </w:tr>
    </w:tbl>
    <w:p>
      <w:pPr>
        <w:spacing w:after="220" w:before="60"/>
      </w:pPr>
      <w:r>
        <w:rPr>
          <w:i/>
          <w:iCs/>
          <w:color w:val="6B7280"/>
          <w:sz w:val="16"/>
          <w:szCs w:val="16"/>
        </w:rPr>
        <w:t xml:space="preserve">"Alta" es un cobro único al contratar — no es mensual, se suma una sola vez a la primera factura y no se repite. Es referencial: el cobro real se genera manual desde la ficha del restaurante, no se cobra automático. Ningún plan tiene tope de ventas.</w:t>
      </w:r>
    </w:p>
    <w:p>
      <w:pPr>
        <w:pStyle w:val="Heading2"/>
        <w:spacing w:after="140" w:before="300"/>
      </w:pPr>
      <w:r>
        <w:t xml:space="preserve">3.2 — Los ocho módulos a la carta</w:t>
      </w:r>
    </w:p>
    <w:p>
      <w:pPr>
        <w:spacing w:after="160" w:line="300"/>
      </w:pPr>
      <w:r>
        <w:rPr>
          <w:sz w:val="21"/>
          <w:szCs w:val="21"/>
        </w:rPr>
        <w:t xml:space="preserve">Se venden sueltos sobre cualquier plan que los soporte. Si el plan actual ya los incluye gratis, no se cobran de nuevo.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50"/>
        <w:gridCol w:w="3700"/>
      </w:tblGrid>
      <w:tr>
        <w:trPr>
          <w:tblHeader/>
        </w:trPr>
        <w:tc>
          <w:tcPr>
            <w:tcW w:type="dxa" w:w="2400"/>
            <w:shd w:fill="4F46E5" w:val="clear"/>
            <w:tcMar>
              <w:top w:type="dxa" w:w="90"/>
              <w:left w:type="dxa" w:w="110"/>
              <w:bottom w:type="dxa" w:w="90"/>
              <w:right w:type="dxa" w:w="110"/>
            </w:tcMar>
            <w:vAlign w:val="center"/>
          </w:tcPr>
          <w:p>
            <w:pPr>
              <w:jc w:val="left"/>
            </w:pPr>
            <w:r>
              <w:rPr>
                <w:b/>
                <w:bCs/>
                <w:color w:val="FFFFFF"/>
                <w:sz w:val="19"/>
                <w:szCs w:val="19"/>
              </w:rPr>
              <w:t xml:space="preserve">Módulo</w:t>
            </w:r>
          </w:p>
        </w:tc>
        <w:tc>
          <w:tcPr>
            <w:tcW w:type="dxa" w:w="1500"/>
            <w:shd w:fill="4F46E5" w:val="clear"/>
            <w:tcMar>
              <w:top w:type="dxa" w:w="90"/>
              <w:left w:type="dxa" w:w="110"/>
              <w:bottom w:type="dxa" w:w="90"/>
              <w:right w:type="dxa" w:w="110"/>
            </w:tcMar>
            <w:vAlign w:val="center"/>
          </w:tcPr>
          <w:p>
            <w:pPr>
              <w:jc w:val="left"/>
            </w:pPr>
            <w:r>
              <w:rPr>
                <w:b/>
                <w:bCs/>
                <w:color w:val="FFFFFF"/>
                <w:sz w:val="19"/>
                <w:szCs w:val="19"/>
              </w:rPr>
              <w:t xml:space="preserve">Precio</w:t>
            </w:r>
          </w:p>
        </w:tc>
        <w:tc>
          <w:tcPr>
            <w:tcW w:type="dxa" w:w="1750"/>
            <w:shd w:fill="4F46E5" w:val="clear"/>
            <w:tcMar>
              <w:top w:type="dxa" w:w="90"/>
              <w:left w:type="dxa" w:w="110"/>
              <w:bottom w:type="dxa" w:w="90"/>
              <w:right w:type="dxa" w:w="110"/>
            </w:tcMar>
            <w:vAlign w:val="center"/>
          </w:tcPr>
          <w:p>
            <w:pPr>
              <w:jc w:val="left"/>
            </w:pPr>
            <w:r>
              <w:rPr>
                <w:b/>
                <w:bCs/>
                <w:color w:val="FFFFFF"/>
                <w:sz w:val="19"/>
                <w:szCs w:val="19"/>
              </w:rPr>
              <w:t xml:space="preserve">Plan mínimo</w:t>
            </w:r>
          </w:p>
        </w:tc>
        <w:tc>
          <w:tcPr>
            <w:tcW w:type="dxa" w:w="3700"/>
            <w:shd w:fill="4F46E5" w:val="clear"/>
            <w:tcMar>
              <w:top w:type="dxa" w:w="90"/>
              <w:left w:type="dxa" w:w="110"/>
              <w:bottom w:type="dxa" w:w="90"/>
              <w:right w:type="dxa" w:w="110"/>
            </w:tcMar>
            <w:vAlign w:val="center"/>
          </w:tcPr>
          <w:p>
            <w:pPr>
              <w:jc w:val="left"/>
            </w:pPr>
            <w:r>
              <w:rPr>
                <w:b/>
                <w:bCs/>
                <w:color w:val="FFFFFF"/>
                <w:sz w:val="19"/>
                <w:szCs w:val="19"/>
              </w:rPr>
              <w:t xml:space="preserve">Incluido gratis en</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Reservaciones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Q99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Básico</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Llamar al mesero</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Q49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Encuestas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Q49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Cupones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Q79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Lealtad / puntos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Q99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Estándar</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Recetas</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Q79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Básico</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Premium y Pro</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Proveedores (pausado)</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Q99 /mes</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No disponible aún</w:t>
            </w:r>
          </w:p>
        </w:tc>
      </w:tr>
      <w:tr>
        <w:tc>
          <w:tcPr>
            <w:tcW w:type="dxa" w:w="2400"/>
            <w:tcMar>
              <w:top w:type="dxa" w:w="90"/>
              <w:left w:type="dxa" w:w="110"/>
              <w:bottom w:type="dxa" w:w="90"/>
              <w:right w:type="dxa" w:w="110"/>
            </w:tcMar>
            <w:vAlign w:val="center"/>
          </w:tcPr>
          <w:p>
            <w:pPr>
              <w:jc w:val="left"/>
            </w:pPr>
            <w:r>
              <w:rPr>
                <w:b w:val="false"/>
                <w:bCs w:val="false"/>
                <w:color w:val="6B7280"/>
                <w:sz w:val="19"/>
                <w:szCs w:val="19"/>
              </w:rPr>
              <w:t xml:space="preserve">Factura Electrónica — FEL (pausado)</w:t>
            </w:r>
          </w:p>
        </w:tc>
        <w:tc>
          <w:tcPr>
            <w:tcW w:type="dxa" w:w="1500"/>
            <w:tcMar>
              <w:top w:type="dxa" w:w="90"/>
              <w:left w:type="dxa" w:w="110"/>
              <w:bottom w:type="dxa" w:w="90"/>
              <w:right w:type="dxa" w:w="110"/>
            </w:tcMar>
            <w:vAlign w:val="center"/>
          </w:tcPr>
          <w:p>
            <w:pPr>
              <w:jc w:val="left"/>
            </w:pPr>
            <w:r>
              <w:rPr>
                <w:b w:val="false"/>
                <w:bCs w:val="false"/>
                <w:color w:val="6B7280"/>
                <w:sz w:val="19"/>
                <w:szCs w:val="19"/>
              </w:rPr>
              <w:t xml:space="preserve">Q249 /mes + Q500 alta</w:t>
            </w:r>
          </w:p>
        </w:tc>
        <w:tc>
          <w:tcPr>
            <w:tcW w:type="dxa" w:w="1750"/>
            <w:tcMar>
              <w:top w:type="dxa" w:w="90"/>
              <w:left w:type="dxa" w:w="110"/>
              <w:bottom w:type="dxa" w:w="90"/>
              <w:right w:type="dxa" w:w="110"/>
            </w:tcMar>
            <w:vAlign w:val="center"/>
          </w:tcPr>
          <w:p>
            <w:pPr>
              <w:jc w:val="left"/>
            </w:pPr>
            <w:r>
              <w:rPr>
                <w:b w:val="false"/>
                <w:bCs w:val="false"/>
                <w:color w:val="6B7280"/>
                <w:sz w:val="19"/>
                <w:szCs w:val="19"/>
              </w:rPr>
              <w:t xml:space="preserve">—</w:t>
            </w:r>
          </w:p>
        </w:tc>
        <w:tc>
          <w:tcPr>
            <w:tcW w:type="dxa" w:w="3700"/>
            <w:tcMar>
              <w:top w:type="dxa" w:w="90"/>
              <w:left w:type="dxa" w:w="110"/>
              <w:bottom w:type="dxa" w:w="90"/>
              <w:right w:type="dxa" w:w="110"/>
            </w:tcMar>
            <w:vAlign w:val="center"/>
          </w:tcPr>
          <w:p>
            <w:pPr>
              <w:jc w:val="left"/>
            </w:pPr>
            <w:r>
              <w:rPr>
                <w:b w:val="false"/>
                <w:bCs w:val="false"/>
                <w:color w:val="6B7280"/>
                <w:sz w:val="19"/>
                <w:szCs w:val="19"/>
              </w:rPr>
              <w:t xml:space="preserve">No disponible aún</w:t>
            </w:r>
          </w:p>
        </w:tc>
      </w:tr>
    </w:tbl>
    <w:p>
      <w:pPr>
        <w:spacing w:after="160" w:line="300"/>
      </w:pPr>
      <w:r>
        <w:rPr>
          <w:color w:val="6B7280"/>
          <w:sz w:val="19"/>
          <w:szCs w:val="19"/>
        </w:rPr>
        <w:t xml:space="preserve">Proveedores y FEL no se ofrecen a nadie por ahora, ni sueltos ni en Pro — se reactivan cuando estén listas. Cuando eso pase, la lógica ya está pensada para que sigan fuera del set gratis de Premium: son las dos herramientas que casi siempre solo necesitan operaciones más grandes o formales, así que quien las necesite las agregará sueltas, o elegirá Pro si va a usar ambas (Pro sale más barato que Premium + las dos a la carta).</w:t>
      </w:r>
    </w:p>
    <w:p>
      <w:pPr>
        <w:pStyle w:val="Heading2"/>
        <w:spacing w:after="140" w:before="300"/>
      </w:pPr>
      <w:r>
        <w:t xml:space="preserve">3.3 — "Plan a tu medida": descuento por canal desactivado</w:t>
      </w:r>
    </w:p>
    <w:p>
      <w:pPr>
        <w:spacing w:after="160" w:line="300"/>
      </w:pPr>
      <w:r>
        <w:rPr>
          <w:sz w:val="21"/>
          <w:szCs w:val="21"/>
        </w:rPr>
        <w:t xml:space="preserve">Este mecanismo ya existía parcialmente en Leogin y se mantiene: en Premium y Pro, cada canal de servicio que el restaurante no usa (local/para llevar, o domicilio) descuenta Q100 de la mensualidad, hasta un máximo de un canal — siempre se paga al menos uno. Es la pieza que ya apuntaba en la dirección correcta antes de este rediseño; ahora convive con los módulos a la carta bajo la misma lógica: paga por lo que usas, nada más.</w:t>
      </w:r>
    </w:p>
    <w:p>
      <w:pPr>
        <w:pStyle w:val="Heading1"/>
        <w:spacing w:after="200" w:before="420"/>
      </w:pPr>
      <w:r>
        <w:t xml:space="preserve">4. Franquicias y grupos de varias sucursales</w:t>
      </w:r>
    </w:p>
    <w:p>
      <w:pPr>
        <w:spacing w:after="160" w:line="300"/>
      </w:pPr>
      <w:r>
        <w:rPr>
          <w:sz w:val="21"/>
          <w:szCs w:val="21"/>
        </w:rPr>
        <w:t xml:space="preserve">Cuando varias sucursales pertenecen a la misma organización, la sucursal fundadora (la más antigua del grupo) paga el precio de su plan completo. A partir de la segunda sucursal, aplica un descuento por volumen sobre el precio del plan de cada una (no sobre los módulos):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50"/>
      </w:tblGrid>
      <w:tr>
        <w:trPr>
          <w:tblHeader/>
        </w:trPr>
        <w:tc>
          <w:tcPr>
            <w:tcW w:type="dxa" w:w="3200"/>
            <w:shd w:fill="4F46E5" w:val="clear"/>
            <w:tcMar>
              <w:top w:type="dxa" w:w="90"/>
              <w:left w:type="dxa" w:w="110"/>
              <w:bottom w:type="dxa" w:w="90"/>
              <w:right w:type="dxa" w:w="110"/>
            </w:tcMar>
            <w:vAlign w:val="center"/>
          </w:tcPr>
          <w:p>
            <w:pPr>
              <w:jc w:val="left"/>
            </w:pPr>
            <w:r>
              <w:rPr>
                <w:b/>
                <w:bCs/>
                <w:color w:val="FFFFFF"/>
                <w:sz w:val="19"/>
                <w:szCs w:val="19"/>
              </w:rPr>
              <w:t xml:space="preserve">Tamaño del grupo</w:t>
            </w:r>
          </w:p>
        </w:tc>
        <w:tc>
          <w:tcPr>
            <w:tcW w:type="dxa" w:w="2500"/>
            <w:shd w:fill="4F46E5" w:val="clear"/>
            <w:tcMar>
              <w:top w:type="dxa" w:w="90"/>
              <w:left w:type="dxa" w:w="110"/>
              <w:bottom w:type="dxa" w:w="90"/>
              <w:right w:type="dxa" w:w="110"/>
            </w:tcMar>
            <w:vAlign w:val="center"/>
          </w:tcPr>
          <w:p>
            <w:pPr>
              <w:jc w:val="left"/>
            </w:pPr>
            <w:r>
              <w:rPr>
                <w:b/>
                <w:bCs/>
                <w:color w:val="FFFFFF"/>
                <w:sz w:val="19"/>
                <w:szCs w:val="19"/>
              </w:rPr>
              <w:t xml:space="preserve">Descuento</w:t>
            </w:r>
          </w:p>
        </w:tc>
        <w:tc>
          <w:tcPr>
            <w:tcW w:type="dxa" w:w="3650"/>
            <w:shd w:fill="4F46E5" w:val="clear"/>
            <w:tcMar>
              <w:top w:type="dxa" w:w="90"/>
              <w:left w:type="dxa" w:w="110"/>
              <w:bottom w:type="dxa" w:w="90"/>
              <w:right w:type="dxa" w:w="110"/>
            </w:tcMar>
            <w:vAlign w:val="center"/>
          </w:tcPr>
          <w:p>
            <w:pPr>
              <w:jc w:val="left"/>
            </w:pPr>
            <w:r>
              <w:rPr>
                <w:b/>
                <w:bCs/>
                <w:color w:val="FFFFFF"/>
                <w:sz w:val="19"/>
                <w:szCs w:val="19"/>
              </w:rPr>
              <w:t xml:space="preserve">Aplica a</w:t>
            </w:r>
          </w:p>
        </w:tc>
      </w:tr>
      <w:tr>
        <w:tc>
          <w:tcPr>
            <w:tcW w:type="dxa" w:w="3200"/>
            <w:tcMar>
              <w:top w:type="dxa" w:w="90"/>
              <w:left w:type="dxa" w:w="110"/>
              <w:bottom w:type="dxa" w:w="90"/>
              <w:right w:type="dxa" w:w="110"/>
            </w:tcMar>
            <w:vAlign w:val="center"/>
          </w:tcPr>
          <w:p>
            <w:pPr>
              <w:jc w:val="left"/>
            </w:pPr>
            <w:r>
              <w:rPr>
                <w:b w:val="false"/>
                <w:bCs w:val="false"/>
                <w:color w:val="111827"/>
                <w:sz w:val="19"/>
                <w:szCs w:val="19"/>
              </w:rPr>
              <w:t xml:space="preserve">2–4 sucursales</w:t>
            </w:r>
          </w:p>
        </w:tc>
        <w:tc>
          <w:tcPr>
            <w:tcW w:type="dxa" w:w="2500"/>
            <w:tcMar>
              <w:top w:type="dxa" w:w="90"/>
              <w:left w:type="dxa" w:w="110"/>
              <w:bottom w:type="dxa" w:w="90"/>
              <w:right w:type="dxa" w:w="110"/>
            </w:tcMar>
            <w:vAlign w:val="center"/>
          </w:tcPr>
          <w:p>
            <w:pPr>
              <w:jc w:val="left"/>
            </w:pPr>
            <w:r>
              <w:rPr>
                <w:b/>
                <w:bCs/>
                <w:color w:val="111827"/>
                <w:sz w:val="19"/>
                <w:szCs w:val="19"/>
              </w:rPr>
              <w:t xml:space="preserve">10%</w:t>
            </w:r>
          </w:p>
        </w:tc>
        <w:tc>
          <w:tcPr>
            <w:tcW w:type="dxa" w:w="3650"/>
            <w:tcMar>
              <w:top w:type="dxa" w:w="90"/>
              <w:left w:type="dxa" w:w="110"/>
              <w:bottom w:type="dxa" w:w="90"/>
              <w:right w:type="dxa" w:w="110"/>
            </w:tcMar>
            <w:vAlign w:val="center"/>
          </w:tcPr>
          <w:p>
            <w:pPr>
              <w:jc w:val="left"/>
            </w:pPr>
            <w:r>
              <w:rPr>
                <w:b w:val="false"/>
                <w:bCs w:val="false"/>
                <w:color w:val="111827"/>
                <w:sz w:val="19"/>
                <w:szCs w:val="19"/>
              </w:rPr>
              <w:t xml:space="preserve">Todas menos la fundadora</w:t>
            </w:r>
          </w:p>
        </w:tc>
      </w:tr>
      <w:tr>
        <w:tc>
          <w:tcPr>
            <w:tcW w:type="dxa" w:w="3200"/>
            <w:tcMar>
              <w:top w:type="dxa" w:w="90"/>
              <w:left w:type="dxa" w:w="110"/>
              <w:bottom w:type="dxa" w:w="90"/>
              <w:right w:type="dxa" w:w="110"/>
            </w:tcMar>
            <w:vAlign w:val="center"/>
          </w:tcPr>
          <w:p>
            <w:pPr>
              <w:jc w:val="left"/>
            </w:pPr>
            <w:r>
              <w:rPr>
                <w:b w:val="false"/>
                <w:bCs w:val="false"/>
                <w:color w:val="111827"/>
                <w:sz w:val="19"/>
                <w:szCs w:val="19"/>
              </w:rPr>
              <w:t xml:space="preserve">5–9 sucursales</w:t>
            </w:r>
          </w:p>
        </w:tc>
        <w:tc>
          <w:tcPr>
            <w:tcW w:type="dxa" w:w="2500"/>
            <w:tcMar>
              <w:top w:type="dxa" w:w="90"/>
              <w:left w:type="dxa" w:w="110"/>
              <w:bottom w:type="dxa" w:w="90"/>
              <w:right w:type="dxa" w:w="110"/>
            </w:tcMar>
            <w:vAlign w:val="center"/>
          </w:tcPr>
          <w:p>
            <w:pPr>
              <w:jc w:val="left"/>
            </w:pPr>
            <w:r>
              <w:rPr>
                <w:b/>
                <w:bCs/>
                <w:color w:val="111827"/>
                <w:sz w:val="19"/>
                <w:szCs w:val="19"/>
              </w:rPr>
              <w:t xml:space="preserve">15%</w:t>
            </w:r>
          </w:p>
        </w:tc>
        <w:tc>
          <w:tcPr>
            <w:tcW w:type="dxa" w:w="3650"/>
            <w:tcMar>
              <w:top w:type="dxa" w:w="90"/>
              <w:left w:type="dxa" w:w="110"/>
              <w:bottom w:type="dxa" w:w="90"/>
              <w:right w:type="dxa" w:w="110"/>
            </w:tcMar>
            <w:vAlign w:val="center"/>
          </w:tcPr>
          <w:p>
            <w:pPr>
              <w:jc w:val="left"/>
            </w:pPr>
            <w:r>
              <w:rPr>
                <w:b w:val="false"/>
                <w:bCs w:val="false"/>
                <w:color w:val="111827"/>
                <w:sz w:val="19"/>
                <w:szCs w:val="19"/>
              </w:rPr>
              <w:t xml:space="preserve">Todas menos la fundadora</w:t>
            </w:r>
          </w:p>
        </w:tc>
      </w:tr>
      <w:tr>
        <w:tc>
          <w:tcPr>
            <w:tcW w:type="dxa" w:w="3200"/>
            <w:tcMar>
              <w:top w:type="dxa" w:w="90"/>
              <w:left w:type="dxa" w:w="110"/>
              <w:bottom w:type="dxa" w:w="90"/>
              <w:right w:type="dxa" w:w="110"/>
            </w:tcMar>
            <w:vAlign w:val="center"/>
          </w:tcPr>
          <w:p>
            <w:pPr>
              <w:jc w:val="left"/>
            </w:pPr>
            <w:r>
              <w:rPr>
                <w:b w:val="false"/>
                <w:bCs w:val="false"/>
                <w:color w:val="111827"/>
                <w:sz w:val="19"/>
                <w:szCs w:val="19"/>
              </w:rPr>
              <w:t xml:space="preserve">10+ sucursales</w:t>
            </w:r>
          </w:p>
        </w:tc>
        <w:tc>
          <w:tcPr>
            <w:tcW w:type="dxa" w:w="2500"/>
            <w:tcMar>
              <w:top w:type="dxa" w:w="90"/>
              <w:left w:type="dxa" w:w="110"/>
              <w:bottom w:type="dxa" w:w="90"/>
              <w:right w:type="dxa" w:w="110"/>
            </w:tcMar>
            <w:vAlign w:val="center"/>
          </w:tcPr>
          <w:p>
            <w:pPr>
              <w:jc w:val="left"/>
            </w:pPr>
            <w:r>
              <w:rPr>
                <w:b/>
                <w:bCs/>
                <w:color w:val="111827"/>
                <w:sz w:val="19"/>
                <w:szCs w:val="19"/>
              </w:rPr>
              <w:t xml:space="preserve">20%</w:t>
            </w:r>
          </w:p>
        </w:tc>
        <w:tc>
          <w:tcPr>
            <w:tcW w:type="dxa" w:w="3650"/>
            <w:tcMar>
              <w:top w:type="dxa" w:w="90"/>
              <w:left w:type="dxa" w:w="110"/>
              <w:bottom w:type="dxa" w:w="90"/>
              <w:right w:type="dxa" w:w="110"/>
            </w:tcMar>
            <w:vAlign w:val="center"/>
          </w:tcPr>
          <w:p>
            <w:pPr>
              <w:jc w:val="left"/>
            </w:pPr>
            <w:r>
              <w:rPr>
                <w:b w:val="false"/>
                <w:bCs w:val="false"/>
                <w:color w:val="111827"/>
                <w:sz w:val="19"/>
                <w:szCs w:val="19"/>
              </w:rPr>
              <w:t xml:space="preserve">Todas menos la fundadora</w:t>
            </w:r>
          </w:p>
        </w:tc>
      </w:tr>
    </w:tbl>
    <w:p>
      <w:pPr>
        <w:spacing w:after="160" w:line="300"/>
      </w:pPr>
      <w:r>
        <w:rPr>
          <w:sz w:val="21"/>
          <w:szCs w:val="21"/>
        </w:rPr>
        <w:t xml:space="preserve">Además, un grupo puede activar el </w:t>
      </w:r>
      <w:r>
        <w:rPr>
          <w:b/>
          <w:bCs/>
          <w:sz w:val="21"/>
          <w:szCs w:val="21"/>
        </w:rPr>
        <w:t xml:space="preserve">panel central (Q299/mes)</w:t>
      </w:r>
      <w:r>
        <w:rPr>
          <w:sz w:val="21"/>
          <w:szCs w:val="21"/>
        </w:rPr>
        <w:t xml:space="preserve"> para ver métricas consolidadas de todas sus sucursales en un solo lugar.</w:t>
      </w:r>
    </w:p>
    <w:p>
      <w:pPr>
        <w:pStyle w:val="Heading2"/>
        <w:spacing w:after="140" w:before="300"/>
      </w:pPr>
      <w:r>
        <w:t xml:space="preserve">Ejemplo — franquicia de 6 sucursales en Premium</w:t>
      </w:r>
    </w:p>
    <w:p>
      <w:pPr>
        <w:pStyle w:val="ListParagraph"/>
        <w:numPr>
          <w:ilvl w:val="0"/>
          <w:numId w:val="1"/>
        </w:numPr>
        <w:spacing w:after="100" w:line="280"/>
      </w:pPr>
      <w:r>
        <w:t xml:space="preserve">Sucursal fundadora: Q749 (precio completo)</w:t>
      </w:r>
    </w:p>
    <w:p>
      <w:pPr>
        <w:pStyle w:val="ListParagraph"/>
        <w:numPr>
          <w:ilvl w:val="0"/>
          <w:numId w:val="1"/>
        </w:numPr>
        <w:spacing w:after="100" w:line="280"/>
      </w:pPr>
      <w:r>
        <w:t xml:space="preserve">5 sucursales adicionales (grupo de 6 → tramo "5–9 sucursales" → 15% de descuento): Q749 × 0.85 = Q637 cada una → Q3,185</w:t>
      </w:r>
    </w:p>
    <w:p>
      <w:pPr>
        <w:pStyle w:val="ListParagraph"/>
        <w:numPr>
          <w:ilvl w:val="0"/>
          <w:numId w:val="1"/>
        </w:numPr>
        <w:spacing w:after="100" w:line="280"/>
      </w:pPr>
      <w:r>
        <w:t xml:space="preserve">Panel central de grupo: Q299/mes</w:t>
      </w:r>
    </w:p>
    <w:p>
      <w:pPr>
        <w:spacing w:after="160" w:line="300"/>
      </w:pPr>
      <w:r>
        <w:rPr>
          <w:b/>
          <w:bCs/>
          <w:sz w:val="21"/>
          <w:szCs w:val="21"/>
        </w:rPr>
        <w:t xml:space="preserve">Total del grupo: Q4,233/mes</w:t>
      </w:r>
      <w:r>
        <w:rPr>
          <w:sz w:val="21"/>
          <w:szCs w:val="21"/>
        </w:rPr>
        <w:t xml:space="preserve"> por las 6 sucursales con panel consolidado — sin que ninguna pague por volumen de ventas.</w:t>
      </w:r>
    </w:p>
    <w:p>
      <w:pPr>
        <w:pStyle w:val="Heading1"/>
        <w:spacing w:after="200" w:before="420"/>
      </w:pPr>
      <w:r>
        <w:t xml:space="preserve">5. De negocio chico a franquicia: cómo se arma cada uno</w:t>
      </w:r>
    </w:p>
    <w:p>
      <w:pPr>
        <w:pStyle w:val="Heading2"/>
        <w:spacing w:after="140" w:before="300"/>
      </w:pPr>
      <w:r>
        <w:t xml:space="preserve">Cafetería o food truck</w:t>
      </w:r>
    </w:p>
    <w:p>
      <w:pPr>
        <w:spacing w:after="160" w:line="300"/>
      </w:pPr>
      <w:r>
        <w:rPr>
          <w:sz w:val="21"/>
          <w:szCs w:val="21"/>
        </w:rPr>
        <w:t xml:space="preserve">Solo necesita mostrar su carta con fotos y precios. Básico — Q149/mes.</w:t>
      </w:r>
    </w:p>
    <w:p>
      <w:pPr>
        <w:pStyle w:val="Heading2"/>
        <w:spacing w:after="140" w:before="300"/>
      </w:pPr>
      <w:r>
        <w:t xml:space="preserve">Restaurante mediano que empieza a vender en línea</w:t>
      </w:r>
    </w:p>
    <w:p>
      <w:pPr>
        <w:spacing w:after="160" w:line="300"/>
      </w:pPr>
      <w:r>
        <w:rPr>
          <w:sz w:val="21"/>
          <w:szCs w:val="21"/>
        </w:rPr>
        <w:t xml:space="preserve">Pedidos para llevar con aviso por WhatsApp. Estándar — Q399/mes.</w:t>
      </w:r>
    </w:p>
    <w:p>
      <w:pPr>
        <w:pStyle w:val="Heading2"/>
        <w:spacing w:after="140" w:before="300"/>
      </w:pPr>
      <w:r>
        <w:t xml:space="preserve">Restaurante establecido con mesa, cupones y lealtad</w:t>
      </w:r>
    </w:p>
    <w:p>
      <w:pPr>
        <w:spacing w:after="160" w:line="300"/>
      </w:pPr>
      <w:r>
        <w:rPr>
          <w:sz w:val="21"/>
          <w:szCs w:val="21"/>
        </w:rPr>
        <w:t xml:space="preserve">Los 3 canales de pedido, panel de mesero, cupones y programa de lealtad ya vienen incluidos. Premium — Q749/mes.</w:t>
      </w:r>
    </w:p>
    <w:p>
      <w:pPr>
        <w:pStyle w:val="Heading2"/>
        <w:spacing w:after="140" w:before="300"/>
      </w:pPr>
      <w:r>
        <w:t xml:space="preserve">Restaurante grande, factura electrónica y maneja proveedores (próximamente)</w:t>
      </w:r>
    </w:p>
    <w:p>
      <w:pPr>
        <w:spacing w:after="160" w:line="300"/>
      </w:pPr>
      <w:r>
        <w:rPr>
          <w:sz w:val="21"/>
          <w:szCs w:val="21"/>
        </w:rPr>
        <w:t xml:space="preserve">Todo Premium más FEL y proveedores, sin pagarlos sueltos. Pro — Q999/mes. Este escenario queda listo para cuando reactives Pro; hoy este tipo de restaurante se queda en Premium.</w:t>
      </w:r>
    </w:p>
    <w:p>
      <w:pPr>
        <w:pStyle w:val="Heading2"/>
        <w:spacing w:after="140" w:before="300"/>
      </w:pPr>
      <w:r>
        <w:t xml:space="preserve">Franquicia de 6 sucursales</w:t>
      </w:r>
    </w:p>
    <w:p>
      <w:pPr>
        <w:spacing w:after="160" w:line="300"/>
      </w:pPr>
      <w:r>
        <w:rPr>
          <w:sz w:val="21"/>
          <w:szCs w:val="21"/>
        </w:rPr>
        <w:t xml:space="preserve">Cada sucursal en el plan que le corresponde según su operación, con el descuento de grupo aplicado automáticamente y panel central para ver todo junto. Ver ejemplo en la sección 4.</w:t>
      </w:r>
    </w:p>
    <w:p>
      <w:pPr>
        <w:pStyle w:val="Heading1"/>
        <w:spacing w:after="200" w:before="420"/>
      </w:pPr>
      <w:r>
        <w:t xml:space="preserve">6. Ningún cliente actual se lleva una sorpresa</w:t>
      </w:r>
    </w:p>
    <w:p>
      <w:pPr>
        <w:spacing w:after="160" w:line="300"/>
      </w:pPr>
      <w:r>
        <w:rPr>
          <w:sz w:val="21"/>
          <w:szCs w:val="21"/>
        </w:rPr>
        <w:t xml:space="preserve">La migración (script SQL 072) protege a todos los que ya pagan hoy:</w:t>
      </w:r>
    </w:p>
    <w:p>
      <w:pPr>
        <w:pStyle w:val="ListParagraph"/>
        <w:numPr>
          <w:ilvl w:val="0"/>
          <w:numId w:val="1"/>
        </w:numPr>
        <w:spacing w:after="100" w:line="280"/>
      </w:pPr>
      <w:r>
        <w:t xml:space="preserve">Restaurantes en modo de precio automático que hoy están en Premium, o en un plan que desaparece (Premium Pro, Premium Ultra, Alto Volumen o Variable): su mensualidad actual queda congelada exactamente en lo que pagan hoy, con una nota de auditoría. No se les cobra de más ni de menos hasta que tú decidas avisarles del cambio y reactivar el precio automático.</w:t>
      </w:r>
    </w:p>
    <w:p>
      <w:pPr>
        <w:pStyle w:val="ListParagraph"/>
        <w:numPr>
          <w:ilvl w:val="0"/>
          <w:numId w:val="1"/>
        </w:numPr>
        <w:spacing w:after="100" w:line="280"/>
      </w:pPr>
      <w:r>
        <w:t xml:space="preserve">Restaurantes en Básico o Estándar: siguen en automático. Básico baja de precio (antes Q199, ahora Q149); Estándar no cambia (Q399).</w:t>
      </w:r>
    </w:p>
    <w:p>
      <w:pPr>
        <w:pStyle w:val="ListParagraph"/>
        <w:numPr>
          <w:ilvl w:val="0"/>
          <w:numId w:val="1"/>
        </w:numPr>
        <w:spacing w:after="100" w:line="280"/>
      </w:pPr>
      <w:r>
        <w:t xml:space="preserve">Restaurantes nuevos: entran directo a la estructura nueva, sin pasos intermedios.</w:t>
      </w:r>
    </w:p>
    <w:p>
      <w:pPr>
        <w:spacing w:after="160" w:line="300"/>
      </w:pPr>
      <w:r>
        <w:rPr>
          <w:sz w:val="21"/>
          <w:szCs w:val="21"/>
        </w:rPr>
        <w:t xml:space="preserve">Esto te da control total sobre cuándo y cómo se entera cada cliente del cambio — nadie ve una variación en su recibo sin que tú lo hayas decidido primero.</w:t>
      </w:r>
    </w:p>
    <w:p>
      <w:pPr>
        <w:pStyle w:val="Heading1"/>
        <w:spacing w:after="200" w:before="420"/>
      </w:pPr>
      <w:r>
        <w:t xml:space="preserve">7. Qué se implementó ya en el código</w:t>
      </w:r>
    </w:p>
    <w:p>
      <w:pPr>
        <w:spacing w:after="160" w:line="300"/>
      </w:pPr>
      <w:r>
        <w:rPr>
          <w:sz w:val="21"/>
          <w:szCs w:val="21"/>
        </w:rPr>
        <w:t xml:space="preserve">Todo lo descrito arriba ya está construido y verificado (tsc --noEmit y eslint sin errores) en el repositorio de Leogin:</w:t>
      </w:r>
    </w:p>
    <w:p>
      <w:pPr>
        <w:pStyle w:val="ListParagraph"/>
        <w:numPr>
          <w:ilvl w:val="0"/>
          <w:numId w:val="1"/>
        </w:numPr>
        <w:spacing w:after="100" w:line="280"/>
      </w:pPr>
      <w:r>
        <w:t xml:space="preserve">plans.ts — única fuente de verdad de planes, módulos incluidos y precios a la carta.</w:t>
      </w:r>
    </w:p>
    <w:p>
      <w:pPr>
        <w:pStyle w:val="ListParagraph"/>
        <w:numPr>
          <w:ilvl w:val="0"/>
          <w:numId w:val="1"/>
        </w:numPr>
        <w:spacing w:after="100" w:line="280"/>
      </w:pPr>
      <w:r>
        <w:t xml:space="preserve">Migración SQL 072 — nuevas funciones de cálculo de mensualidad, descuento por sucursal, y el paso de congelamiento para clientes actuales.</w:t>
      </w:r>
    </w:p>
    <w:p>
      <w:pPr>
        <w:pStyle w:val="ListParagraph"/>
        <w:numPr>
          <w:ilvl w:val="0"/>
          <w:numId w:val="1"/>
        </w:numPr>
        <w:spacing w:after="100" w:line="280"/>
      </w:pPr>
      <w:r>
        <w:t xml:space="preserve">Panel del super admin — precios de planes y módulos editables, ficha de cada restaurante con el desglose completo de su mensualidad.</w:t>
      </w:r>
    </w:p>
    <w:p>
      <w:pPr>
        <w:pStyle w:val="ListParagraph"/>
        <w:numPr>
          <w:ilvl w:val="0"/>
          <w:numId w:val="1"/>
        </w:numPr>
        <w:spacing w:after="100" w:line="280"/>
      </w:pPr>
      <w:r>
        <w:t xml:space="preserve">Panel del dueño de restaurante — su propia mensualidad desglosada, y qué módulos tiene incluidos vs. cuáles puede agregar.</w:t>
      </w:r>
    </w:p>
    <w:p>
      <w:pPr>
        <w:pStyle w:val="ListParagraph"/>
        <w:numPr>
          <w:ilvl w:val="0"/>
          <w:numId w:val="1"/>
        </w:numPr>
        <w:spacing w:after="100" w:line="280"/>
      </w:pPr>
      <w:r>
        <w:t xml:space="preserve">Página pública /planes — los 4 planes, los módulos a la carta, un armador interactivo de plan, la tabla de descuento por sucursales, y preguntas frecuentes actualizadas.</w:t>
      </w:r>
    </w:p>
    <w:p>
      <w:pPr>
        <w:pStyle w:val="ListParagraph"/>
        <w:numPr>
          <w:ilvl w:val="0"/>
          <w:numId w:val="1"/>
        </w:numPr>
        <w:spacing w:after="100" w:line="280"/>
      </w:pPr>
      <w:r>
        <w:t xml:space="preserve">Registro de nuevos restaurantes — precios y textos actualizados a la estructura nueva.</w:t>
      </w:r>
    </w:p>
    <w:p>
      <w:pPr>
        <w:spacing w:after="160" w:line="300"/>
      </w:pPr>
      <w:r>
        <w:rPr>
          <w:color w:val="6B7280"/>
          <w:sz w:val="19"/>
          <w:szCs w:val="19"/>
        </w:rPr>
        <w:t xml:space="preserve">Tres archivos de la funcionalidad de GMV que ya no se usa (plan-gmv-bar.tsx, plan-gmv-alert.tsx, gmv-calculator.tsx) no se pudieron borrar automáticamente por una restricción de permisos de este entorno — quedaron vaciados y marcados como código muerto. Puedes borrarlos tú directamente cuando quieras, no afectan el funcionamiento.</w:t>
      </w:r>
    </w:p>
    <w:p>
      <w:pPr>
        <w:pStyle w:val="Heading1"/>
        <w:spacing w:after="200" w:before="420"/>
      </w:pPr>
      <w:r>
        <w:t xml:space="preserve">8. Próximos pasos</w:t>
      </w:r>
    </w:p>
    <w:p>
      <w:pPr>
        <w:pStyle w:val="ListParagraph"/>
        <w:numPr>
          <w:ilvl w:val="0"/>
          <w:numId w:val="1"/>
        </w:numPr>
        <w:spacing w:after="100" w:line="280"/>
      </w:pPr>
      <w:r>
        <w:t xml:space="preserve">Aplicar la migración 072_planes_modulares_sin_gmv.sql en la base de datos de producción (Supabase). Crea la estructura completa, incluido Pro — pausarlo para clientes fue un cambio de código (qué se muestra), no de base de datos, así que no cambia nada de este paso.</w:t>
      </w:r>
    </w:p>
    <w:p>
      <w:pPr>
        <w:pStyle w:val="ListParagraph"/>
        <w:numPr>
          <w:ilvl w:val="0"/>
          <w:numId w:val="1"/>
        </w:numPr>
        <w:spacing w:after="100" w:line="280"/>
      </w:pPr>
      <w:r>
        <w:t xml:space="preserve">Revisar la lista de restaurantes que quedaron con precio congelado y decidir cuándo avisarles del cambio de estructura.</w:t>
      </w:r>
    </w:p>
    <w:p>
      <w:pPr>
        <w:pStyle w:val="ListParagraph"/>
        <w:numPr>
          <w:ilvl w:val="0"/>
          <w:numId w:val="1"/>
        </w:numPr>
        <w:spacing w:after="100" w:line="280"/>
      </w:pPr>
      <w:r>
        <w:t xml:space="preserve">Actualizar el Cotizador.xlsx con las cifras nuevas (Premium ahora Q749, ya no Q1,000).</w:t>
      </w:r>
    </w:p>
    <w:p>
      <w:pPr>
        <w:pStyle w:val="ListParagraph"/>
        <w:numPr>
          <w:ilvl w:val="0"/>
          <w:numId w:val="1"/>
        </w:numPr>
        <w:spacing w:after="100" w:line="280"/>
      </w:pPr>
      <w:r>
        <w:t xml:space="preserve">Correr un build completo (npm run build) desde tu máquina para una verificación final — este entorno de trabajo no tiene acceso a internet para descargar las dependencias del build.</w:t>
      </w:r>
    </w:p>
    <w:p>
      <w:pPr>
        <w:pStyle w:val="ListParagraph"/>
        <w:numPr>
          <w:ilvl w:val="0"/>
          <w:numId w:val="1"/>
        </w:numPr>
        <w:spacing w:after="100" w:line="280"/>
      </w:pPr>
      <w:r>
        <w:t xml:space="preserve">Borrar manualmente los tres archivos de código muerto mencionados arriba, cuando quieras.</w:t>
      </w:r>
    </w:p>
    <w:p>
      <w:pPr>
        <w:pStyle w:val="ListParagraph"/>
        <w:numPr>
          <w:ilvl w:val="0"/>
          <w:numId w:val="1"/>
        </w:numPr>
        <w:spacing w:after="100" w:line="280"/>
      </w:pPr>
      <w:r>
        <w:t xml:space="preserve">Cuando Proveedores y FEL estén listos: reactivar Pro agregando 'PRO' de vuelta a PUBLIC_PLANS en plans.ts, y quitando comingSoon de esos dos módulos en el mismo archivo — un cambio de dos líneas.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Página </w:t>
    </w:r>
    <w:r>
      <w:rPr>
        <w:color w:val="6B7280"/>
        <w:sz w:val="15"/>
        <w:szCs w:val="15"/>
      </w:rPr>
      <w:fldChar w:fldCharType="begin"/>
      <w:instrText xml:space="preserve">PAGE</w:instrText>
      <w:fldChar w:fldCharType="separate"/>
      <w:fldChar w:fldCharType="end"/>
    </w:r>
    <w:r>
      <w:rPr>
        <w:color w:val="6B7280"/>
        <w:sz w:val="15"/>
        <w:szCs w:val="15"/>
      </w:rPr>
      <w:t xml:space="preserve"> de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Leogin — Rediseño de Planes y Precios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8" w:space="4"/>
      </w:pBdr>
      <w:spacing w:after="200" w:before="400"/>
    </w:pPr>
    <w:rPr>
      <w:rFonts w:ascii="Calibri" w:cs="Calibri" w:eastAsia="Calibri" w:hAnsi="Calibri"/>
      <w:b/>
      <w:bCs/>
      <w:color w:val="3730A3"/>
      <w:sz w:val="30"/>
      <w:szCs w:val="30"/>
    </w:rPr>
  </w:style>
  <w:style w:type="paragraph" w:styleId="Heading2">
    <w:name w:val="Heading 2"/>
    <w:basedOn w:val="Normal"/>
    <w:next w:val="Normal"/>
    <w:qFormat/>
    <w:pPr>
      <w:spacing w:after="140" w:before="280"/>
    </w:pPr>
    <w:rPr>
      <w:rFonts w:ascii="Calibri" w:cs="Calibri" w:eastAsia="Calibri" w:hAnsi="Calibri"/>
      <w:b/>
      <w:bCs/>
      <w:color w:val="3730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2026-07-12T22:31:58.514Z</dcterms:created>
  <dcterms:modified xsi:type="dcterms:W3CDTF">2026-07-12T22:31:58.516Z</dcterms:modified>
</cp:coreProperties>
</file>

<file path=docProps/custom.xml><?xml version="1.0" encoding="utf-8"?>
<Properties xmlns="http://schemas.openxmlformats.org/officeDocument/2006/custom-properties" xmlns:vt="http://schemas.openxmlformats.org/officeDocument/2006/docPropsVTypes"/>
</file>