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ind w:left="0" w:right="11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y protocolo metodológico para el tratamiento de vacíos de información y la incorporación de nuevas fuentes de referencia</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presenta una estrategia y un protocolo metodológico para el tratamiento de vacíos de información y la incorporación de nuevas fuentes de datos de referencia en el área de estudio. Su objetivo es establecer un procedimiento general, reproducible, configurable y auditable que permita identificar necesidades de información por país y clase, seleccionar fuentes pertinentes, preparar datos heterogéneos, generar puntos candidatos, homologar las clases originales con la leyenda regional, aplicar controles de calidad y valorar la aptitud preliminar de los registros antes de su eventual integración al conjunto regional.</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protocolo es aplicable a fuentes puntuales, capas vectoriales de polígonos, rásteres categóricos y fuentes auxiliares construidas mediante reglas de consenso. Su implementación se fundamenta en la conservación del dato original, la trazabilidad integral, la auditoría previa a la depuración, la separación entre extracción y aptitud, la explicitación de las unidades espaciales y la documentación de parámetros, configuraciones y decisiones. El flujo metodológico comprende la identificación de vacíos, el registro documental de las fuentes, su preparación según el tipo de geometría, la selección espacial de candidatos, la homologación temática, la generación de identificadores y grupos XY, y la aplicación de auditorías estructurales, geométricas, temporales, temáticas, espaciales y espectrales.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etapa de síntesis, el protocolo integra la evidencia obtenida mediante un sistema de puntuación que considera los componentes temporal, espacial, temático, espectral, de confiabilidad, representatividad y procedencia de la fuente. Los resultados permiten clasificar preliminarmente los registros como datos potenciales para entrenamiento, validación, referencia contextual o exclusión. Estas categorías constituyen una preselección operativa y no sustituyen la revisión experta ni la decisión final de incorporación. En conjunto, el protocolo busca homogeneizar el tratamiento de fuentes diversas, reducir decisiones arbitrarias y conservar la evidencia necesaria para reconstruir y justificar cada resultado.</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Propósito</w:t>
      </w:r>
    </w:p>
    <w:p w:rsidR="00000000" w:rsidDel="00000000" w:rsidP="00000000" w:rsidRDefault="00000000" w:rsidRPr="00000000" w14:paraId="0000000C">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del protocolo es orientar y documentar el tratamiento de nuevas fuentes de datos de referencia destinadas a atender vacíos de información por país y clase para el área de estudio. Para cumplir esta función, el documento establece qué información debe revisarse antes de procesar una fuente, cómo se deben generar o consolidar candidatos, qué controles deben aplicarse y qué evidencia debe conservarse para justificar cada decisión.</w:t>
      </w:r>
    </w:p>
    <w:p w:rsidR="00000000" w:rsidDel="00000000" w:rsidP="00000000" w:rsidRDefault="00000000" w:rsidRPr="00000000" w14:paraId="0000000D">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protocolo también busca homogeneizar la práctica de distintos responsables técnicos. Una fuente nueva puede tener geometría, leyenda, temporalidad, resolución o nivel de documentación diferente; sin embargo, todas deben recorrer una secuencia común de trazabilidad, homologación, auditoría, scoring, revisión experta y normalización. La homogeneidad se refiere al procedimiento de evaluación y no a forzar que todas las fuentes produzcan el mismo tipo o cantidad de registros.</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del protocolo</w:t>
      </w:r>
    </w:p>
    <w:p w:rsidR="00000000" w:rsidDel="00000000" w:rsidP="00000000" w:rsidRDefault="00000000" w:rsidRPr="00000000" w14:paraId="00000010">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protocolo se aplica a fuentes puntuales, vectoriales de polígonos, ráster categóricas y fuentes auxiliares construidas mediante reglas de consenso. Puede utilizarse para mapas nacionales o locales, mallas de entrenamiento, inventarios, puntos de campo, puntos de fotointerpretación, productos de cobertura y uso de la tierra, áreas de entrenamiento y productos auxiliares regionales o globales.</w:t>
      </w:r>
    </w:p>
    <w:p w:rsidR="00000000" w:rsidDel="00000000" w:rsidP="00000000" w:rsidRDefault="00000000" w:rsidRPr="00000000" w14:paraId="00000012">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Quedan fuera del alcance de este documento la ejecución regional completa del llenado de vacíos, la construcción definitiva del dataset de modelamiento, la partición final entre entrenamiento, validación y prueba, la evaluación de desempeño de modelos y el diseño estadístico final de validación. </w:t>
      </w:r>
      <w:r w:rsidDel="00000000" w:rsidR="00000000" w:rsidRPr="00000000">
        <w:rPr>
          <w:rFonts w:ascii="Times New Roman" w:cs="Times New Roman" w:eastAsia="Times New Roman" w:hAnsi="Times New Roman"/>
          <w:rtl w:val="0"/>
        </w:rPr>
        <w:t xml:space="preserve">Tampoco se asume que una fuente aceptada deba utilizarse necesariamente en el modelamiento; la decisión final dependerá de etapas posteriores y del diseño analítico adoptad</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013">
      <w:pPr>
        <w:keepLines w:val="1"/>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Lines w:val="1"/>
        <w:spacing w:after="12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w:t>
      </w:r>
    </w:p>
    <w:p w:rsidR="00000000" w:rsidDel="00000000" w:rsidP="00000000" w:rsidRDefault="00000000" w:rsidRPr="00000000" w14:paraId="00000015">
      <w:pPr>
        <w:keepLines w:val="1"/>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un protocolo metodológico general, reproducible, configurable y auditable para identificar vacíos de información, seleccionar nuevas fuentes de referencia, generar o incorporar puntos candidatos, homologar sus clases, aplicar auditorías de calidad, valorar su aptitud, normalizar los registros aceptados y actualizar el diagnóstico regional por país y clase.</w:t>
      </w:r>
    </w:p>
    <w:p w:rsidR="00000000" w:rsidDel="00000000" w:rsidP="00000000" w:rsidRDefault="00000000" w:rsidRPr="00000000" w14:paraId="00000016">
      <w:pPr>
        <w:keepLines w:val="1"/>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específicos</w:t>
      </w:r>
      <w:r w:rsidDel="00000000" w:rsidR="00000000" w:rsidRPr="00000000">
        <w:rPr>
          <w:rtl w:val="0"/>
        </w:rPr>
      </w:r>
    </w:p>
    <w:p w:rsidR="00000000" w:rsidDel="00000000" w:rsidP="00000000" w:rsidRDefault="00000000" w:rsidRPr="00000000" w14:paraId="00000017">
      <w:pPr>
        <w:keepLines w:val="1"/>
        <w:numPr>
          <w:ilvl w:val="0"/>
          <w:numId w:val="1"/>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criterios de elegibilidad y clasificación funcional preliminar de nuevas fuentes.</w:t>
      </w:r>
    </w:p>
    <w:p w:rsidR="00000000" w:rsidDel="00000000" w:rsidP="00000000" w:rsidRDefault="00000000" w:rsidRPr="00000000" w14:paraId="00000018">
      <w:pPr>
        <w:keepLines w:val="1"/>
        <w:numPr>
          <w:ilvl w:val="0"/>
          <w:numId w:val="1"/>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Diferenciar rutas de preparación para fuentes puntuales, vectoriales y ráster.</w:t>
      </w:r>
    </w:p>
    <w:p w:rsidR="00000000" w:rsidDel="00000000" w:rsidP="00000000" w:rsidRDefault="00000000" w:rsidRPr="00000000" w14:paraId="00000019">
      <w:pPr>
        <w:keepLines w:val="1"/>
        <w:numPr>
          <w:ilvl w:val="0"/>
          <w:numId w:val="1"/>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Formalizar controles de representatividad temática, redundancia espacial y trazabilidad.</w:t>
      </w:r>
    </w:p>
    <w:p w:rsidR="00000000" w:rsidDel="00000000" w:rsidP="00000000" w:rsidRDefault="00000000" w:rsidRPr="00000000" w14:paraId="0000001A">
      <w:pPr>
        <w:keepLines w:val="1"/>
        <w:numPr>
          <w:ilvl w:val="0"/>
          <w:numId w:val="1"/>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una secuencia de homologación, auditorías, scoring, decisión y normalización.</w:t>
      </w:r>
    </w:p>
    <w:p w:rsidR="00000000" w:rsidDel="00000000" w:rsidP="00000000" w:rsidRDefault="00000000" w:rsidRPr="00000000" w14:paraId="0000001B">
      <w:pPr>
        <w:keepLines w:val="1"/>
        <w:numPr>
          <w:ilvl w:val="0"/>
          <w:numId w:val="1"/>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las salidas obligatorias, la bitácora de decisiones y el reporte de incorporación por fuente.</w:t>
      </w:r>
    </w:p>
    <w:p w:rsidR="00000000" w:rsidDel="00000000" w:rsidP="00000000" w:rsidRDefault="00000000" w:rsidRPr="00000000" w14:paraId="0000001C">
      <w:pPr>
        <w:keepLines w:val="1"/>
        <w:numPr>
          <w:ilvl w:val="0"/>
          <w:numId w:val="1"/>
        </w:numPr>
        <w:spacing w:after="1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Asegurar que los resultados puedan integrarse con el modelo regional sin perder la información original.</w:t>
      </w:r>
    </w:p>
    <w:p w:rsidR="00000000" w:rsidDel="00000000" w:rsidP="00000000" w:rsidRDefault="00000000" w:rsidRPr="00000000" w14:paraId="0000001D">
      <w:pPr>
        <w:keepLines w:val="1"/>
        <w:spacing w:after="12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Principíos metodológicos</w:t>
      </w:r>
    </w:p>
    <w:p w:rsidR="00000000" w:rsidDel="00000000" w:rsidP="00000000" w:rsidRDefault="00000000" w:rsidRPr="00000000" w14:paraId="0000001E">
      <w:pPr>
        <w:keepLines w:val="1"/>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aplicación del protocolo deberá respetar un conjunto de principios comunes. El primero es la no modificación del dato original: los archivos recibidos se preservan como evidencia y toda corrección, recorte o transformación genera una salida nueva. El segundo es la auditoría previa a la limpieza: las inconsistencias deben registrarse antes de aplicar filtros, de manera que sea posible explicar qué se encontró y qué decisión se tomó.</w:t>
      </w:r>
    </w:p>
    <w:p w:rsidR="00000000" w:rsidDel="00000000" w:rsidP="00000000" w:rsidRDefault="00000000" w:rsidRPr="00000000" w14:paraId="0000001F">
      <w:pPr>
        <w:keepLines w:val="1"/>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trazabilidad constituye un principio transversal. Cada registro debe permitir reconstruir su fuente, clase original, año, ubicación, método de extracción, tabla de homologación, versión de configuración, resultados de auditoría y decisión final. La reproducibilidad se apoya en archivos YAML, catálogos y scripts versionados, evitando que rutas, clases o umbrales queden ocultos como valores rígidos en el código.</w:t>
      </w:r>
    </w:p>
    <w:p w:rsidR="00000000" w:rsidDel="00000000" w:rsidP="00000000" w:rsidRDefault="00000000" w:rsidRPr="00000000" w14:paraId="00000020">
      <w:pPr>
        <w:keepLines w:val="1"/>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protocolo separa extracción y aptitud. La generación de un punto candidato no demuestra que el punto sea adecuado. De igual manera, un puntaje alto no sustituye la revisión de alertas, la trazabilidad documental o la posible evaluación experta por fotointerpretación. Por ello, la secuencia debe mantener estados diferenciados para el dato original, el candidato, el dato auditado, el dato preseleccionado, el dato revisado y el dato normalizado.</w:t>
      </w:r>
    </w:p>
    <w:p w:rsidR="00000000" w:rsidDel="00000000" w:rsidP="00000000" w:rsidRDefault="00000000" w:rsidRPr="00000000" w14:paraId="00000021">
      <w:pPr>
        <w:keepLines w:val="1"/>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1"/>
        <w:spacing w:after="80" w:before="1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1. Principios orientadores del protocolo</w:t>
      </w:r>
    </w:p>
    <w:tbl>
      <w:tblPr>
        <w:tblStyle w:val="Table1"/>
        <w:tblW w:w="9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0"/>
        <w:gridCol w:w="4770"/>
        <w:tblGridChange w:id="0">
          <w:tblGrid>
            <w:gridCol w:w="4620"/>
            <w:gridCol w:w="4770"/>
          </w:tblGrid>
        </w:tblGridChange>
      </w:tblGrid>
      <w:tr>
        <w:trPr>
          <w:cantSplit w:val="0"/>
          <w:tblHeader w:val="1"/>
        </w:trPr>
        <w:tc>
          <w:tcPr>
            <w:shd w:fill="ffffff" w:val="clear"/>
            <w:tcMar>
              <w:top w:w="70.0" w:type="dxa"/>
              <w:bottom w:w="70.0" w:type="dxa"/>
            </w:tcMar>
            <w:vAlign w:val="center"/>
          </w:tcPr>
          <w:p w:rsidR="00000000" w:rsidDel="00000000" w:rsidP="00000000" w:rsidRDefault="00000000" w:rsidRPr="00000000" w14:paraId="000000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Principio</w:t>
            </w:r>
            <w:r w:rsidDel="00000000" w:rsidR="00000000" w:rsidRPr="00000000">
              <w:rPr>
                <w:rtl w:val="0"/>
              </w:rPr>
            </w:r>
          </w:p>
        </w:tc>
        <w:tc>
          <w:tcPr>
            <w:shd w:fill="ffffff" w:val="clear"/>
            <w:tcMar>
              <w:top w:w="70.0" w:type="dxa"/>
              <w:bottom w:w="70.0" w:type="dxa"/>
            </w:tcMar>
            <w:vAlign w:val="center"/>
          </w:tcPr>
          <w:p w:rsidR="00000000" w:rsidDel="00000000" w:rsidP="00000000" w:rsidRDefault="00000000" w:rsidRPr="00000000" w14:paraId="000000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Implicación </w:t>
            </w:r>
            <w:r w:rsidDel="00000000" w:rsidR="00000000" w:rsidRPr="00000000">
              <w:rPr>
                <w:rtl w:val="0"/>
              </w:rPr>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Trazabilidad integral</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Toda decisión debe vincularse con una fuente, versión, configuración, responsable, fecha y justificación.</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 alteración del original</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archivo recibido se conserva como dato crudo; toda corrección genera una nueva salida.</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Aptitud antes que cantidad</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fuente no se incorpora por su volumen, sino por su utilidad real y sus limitaciones documentadas.</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Separación funcional</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Entrenamiento, validación, prueba y apoyo interpretativo requieren condiciones e independencia diferentes.</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Unidad espacial explícita</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evaluación y las particiones posteriores deben reconocer grupos XY y no tratar filas repetidas como observaciones independientes.</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Homologación sin pérdida de origen</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códigos y nombres originales se conservan; la clasificación regional se añade como una capa de correspondencia.</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Configurabilidad</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Distancias, tamaños mínimos, ventanas temporales y umbrales se definen fuera del código y se registran por ejecución.</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Auditoría antes de depuración</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problemas se diagnostican antes de eliminar, reclasificar o condicionar registros.</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Evidencia complementaria</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señal espectral o las capas auxiliares apoyan decisiones, pero no sustituyen la evidencia temática e institucional.</w:t>
            </w:r>
          </w:p>
        </w:tc>
      </w:tr>
      <w:tr>
        <w:trPr>
          <w:cantSplit w:val="0"/>
          <w:tblHeader w:val="0"/>
        </w:trPr>
        <w:tc>
          <w:tcPr>
            <w:shd w:fill="ffffff" w:val="clear"/>
            <w:tcMar>
              <w:top w:w="65.0" w:type="dxa"/>
              <w:bottom w:w="65.0" w:type="dxa"/>
            </w:tcMar>
            <w:vAlign w:val="top"/>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Reproducibilidad</w:t>
            </w:r>
            <w:r w:rsidDel="00000000" w:rsidR="00000000" w:rsidRPr="00000000">
              <w:rPr>
                <w:rtl w:val="0"/>
              </w:rPr>
            </w:r>
          </w:p>
        </w:tc>
        <w:tc>
          <w:tcPr>
            <w:shd w:fill="ffffff" w:val="clear"/>
            <w:tcMar>
              <w:top w:w="65.0" w:type="dxa"/>
              <w:bottom w:w="65.0" w:type="dxa"/>
            </w:tcMar>
            <w:vAlign w:val="top"/>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producto debe poder reconstruirse mediante scripts versionados, YAML, logs y metadatos. Como estrategia de trazabilidad y reproducibilidad. </w:t>
            </w:r>
          </w:p>
        </w:tc>
      </w:tr>
    </w:tbl>
    <w:p w:rsidR="00000000" w:rsidDel="00000000" w:rsidP="00000000" w:rsidRDefault="00000000" w:rsidRPr="00000000" w14:paraId="00000039">
      <w:pPr>
        <w:spacing w:after="120" w:before="40" w:line="276" w:lineRule="auto"/>
        <w:rPr>
          <w:rFonts w:ascii="Times New Roman" w:cs="Times New Roman" w:eastAsia="Times New Roman" w:hAnsi="Times New Roman"/>
          <w:b w:val="1"/>
          <w:bCs w:val="1"/>
        </w:rPr>
      </w:pPr>
      <w:r w:rsidDel="00000000" w:rsidR="00000000" w:rsidRPr="00000000">
        <w:rPr>
          <w:sz w:val="21"/>
          <w:szCs w:val="21"/>
          <w:rtl w:val="0"/>
        </w:rPr>
        <w:t xml:space="preserve">Nota: Elaboración propia. </w:t>
      </w:r>
      <w:r w:rsidDel="00000000" w:rsidR="00000000" w:rsidRPr="00000000">
        <w:rPr>
          <w:rtl w:val="0"/>
        </w:rPr>
      </w:r>
    </w:p>
    <w:p w:rsidR="00000000" w:rsidDel="00000000" w:rsidP="00000000" w:rsidRDefault="00000000" w:rsidRPr="00000000" w14:paraId="0000003A">
      <w:pPr>
        <w:keepLines w:val="1"/>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tanto, la incorporación de una fuente debe iniciar únicamente cuando exista un vacío o necesidad documentada y cuando se disponga de información mínima para reconstruir la procedencia y el significado de los datos. No se recomienda iniciar el muestreo desde una capa sin haber revisado primero su leyenda, periodo de referencia y restricciones de uso.</w:t>
      </w:r>
    </w:p>
    <w:p w:rsidR="00000000" w:rsidDel="00000000" w:rsidP="00000000" w:rsidRDefault="00000000" w:rsidRPr="00000000" w14:paraId="0000003B">
      <w:pPr>
        <w:keepLines w:val="1"/>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Lines w:val="1"/>
        <w:spacing w:after="12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general del protocolo</w:t>
      </w:r>
    </w:p>
    <w:p w:rsidR="00000000" w:rsidDel="00000000" w:rsidP="00000000" w:rsidRDefault="00000000" w:rsidRPr="00000000" w14:paraId="0000003D">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general se construye como una secuencia de decisiones. Cada etapa recibe productos de la anterior, agrega evidencia y determina si la fuente o el dato puede continuar. Esta lógica evita procesar de forma costosa fuentes que carecen de documentación mínima o que no guardan relación con el vacío priorizado. La siguiente figura sintetiza el flujo de procesamiento general: </w:t>
      </w:r>
    </w:p>
    <w:p w:rsidR="00000000" w:rsidDel="00000000" w:rsidP="00000000" w:rsidRDefault="00000000" w:rsidRPr="00000000" w14:paraId="0000003E">
      <w:pPr>
        <w:spacing w:after="120" w:line="269" w:lineRule="auto"/>
        <w:jc w:val="both"/>
        <w:rPr>
          <w:sz w:val="21"/>
          <w:szCs w:val="21"/>
        </w:rPr>
      </w:pPr>
      <w:r w:rsidDel="00000000" w:rsidR="00000000" w:rsidRPr="00000000">
        <w:rPr>
          <w:sz w:val="21"/>
          <w:szCs w:val="21"/>
        </w:rPr>
        <w:drawing>
          <wp:inline distB="114300" distT="114300" distL="114300" distR="114300">
            <wp:extent cx="57312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line="269" w:lineRule="auto"/>
        <w:jc w:val="both"/>
        <w:rPr>
          <w:sz w:val="21"/>
          <w:szCs w:val="21"/>
        </w:rPr>
      </w:pPr>
      <w:r w:rsidDel="00000000" w:rsidR="00000000" w:rsidRPr="00000000">
        <w:rPr>
          <w:sz w:val="21"/>
          <w:szCs w:val="21"/>
          <w:rtl w:val="0"/>
        </w:rPr>
        <w:t xml:space="preserve">Figura 1. Flujo metodológico para procesamiento e integración de nuevas fuentes de datos. </w:t>
      </w:r>
    </w:p>
    <w:p w:rsidR="00000000" w:rsidDel="00000000" w:rsidP="00000000" w:rsidRDefault="00000000" w:rsidRPr="00000000" w14:paraId="00000040">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antes descrito no es estrictamente lineal. Una fuente puede regresar a la etapa de preparación si se identifican campos insuficientes; una homologación puede requerir consulta experta; la fotointerpretación puede recomendar reclasificar un dato o revisar el año de referencia. </w:t>
      </w:r>
    </w:p>
    <w:p w:rsidR="00000000" w:rsidDel="00000000" w:rsidP="00000000" w:rsidRDefault="00000000" w:rsidRPr="00000000" w14:paraId="00000041">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vacíos</w:t>
      </w:r>
    </w:p>
    <w:p w:rsidR="00000000" w:rsidDel="00000000" w:rsidP="00000000" w:rsidRDefault="00000000" w:rsidRPr="00000000" w14:paraId="00000043">
      <w:pPr>
        <w:spacing w:after="120" w:line="269" w:lineRule="auto"/>
        <w:jc w:val="both"/>
        <w:rPr>
          <w:sz w:val="21"/>
          <w:szCs w:val="21"/>
        </w:rPr>
      </w:pPr>
      <w:r w:rsidDel="00000000" w:rsidR="00000000" w:rsidRPr="00000000">
        <w:rPr>
          <w:rFonts w:ascii="Times New Roman" w:cs="Times New Roman" w:eastAsia="Times New Roman" w:hAnsi="Times New Roman"/>
          <w:rtl w:val="0"/>
        </w:rPr>
        <w:t xml:space="preserve">Para iniciar esta etapa se deben consultar las tablas de diagnóstico por país y clase, el scoring existente y la distribución espacial de los grupos XY, como resultados de la Actividad 1 y 2 del proceso. El análisis debe precisar el nivel temático evaluado, la cantidad de registros, la cantidad de grupos espaciales, el porcentaje potencialmente apto, la concentración territorial y las principales limitaciones observadas. </w:t>
      </w:r>
      <w:r w:rsidDel="00000000" w:rsidR="00000000" w:rsidRPr="00000000">
        <w:rPr>
          <w:sz w:val="21"/>
          <w:szCs w:val="21"/>
          <w:rtl w:val="0"/>
        </w:rPr>
        <w:t xml:space="preserve">La prioridad no debe definirse únicamente por la cantidad de puntos, una clase puede tener muchos registros, pero presentar baja aptitud, duplicidad espacial u otros factores.</w:t>
      </w:r>
    </w:p>
    <w:p w:rsidR="00000000" w:rsidDel="00000000" w:rsidP="00000000" w:rsidRDefault="00000000" w:rsidRPr="00000000" w14:paraId="00000044">
      <w:pPr>
        <w:spacing w:after="120" w:line="269" w:lineRule="auto"/>
        <w:jc w:val="both"/>
        <w:rPr>
          <w:sz w:val="21"/>
          <w:szCs w:val="21"/>
        </w:rPr>
      </w:pPr>
      <w:r w:rsidDel="00000000" w:rsidR="00000000" w:rsidRPr="00000000">
        <w:rPr>
          <w:rtl w:val="0"/>
        </w:rPr>
      </w:r>
    </w:p>
    <w:p w:rsidR="00000000" w:rsidDel="00000000" w:rsidP="00000000" w:rsidRDefault="00000000" w:rsidRPr="00000000" w14:paraId="00000045">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Selección y registro de nuevas fuentes</w:t>
      </w:r>
    </w:p>
    <w:p w:rsidR="00000000" w:rsidDel="00000000" w:rsidP="00000000" w:rsidRDefault="00000000" w:rsidRPr="00000000" w14:paraId="00000046">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 una fuente debe responder al vacío priorizado. Antes de descargar o procesar datos, el responsable deberá identificar la institución productora, el producto, el año o periodo representado, la cobertura territorial, la escala o resolución, la leyenda, el método de obtención y las condiciones de uso. Una fuente reciente no es necesariamente pertinente si representa otra temporalidad o si su clase no puede relacionarse con la leyenda regional. Toda fuente debe recibir un identificador único y una ficha documental. </w:t>
      </w:r>
    </w:p>
    <w:p w:rsidR="00000000" w:rsidDel="00000000" w:rsidP="00000000" w:rsidRDefault="00000000" w:rsidRPr="00000000" w14:paraId="00000047">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fuentes de datos utilizadas se encuentran en la ruta del repositorio: </w:t>
      </w:r>
      <w:r w:rsidDel="00000000" w:rsidR="00000000" w:rsidRPr="00000000">
        <w:rPr>
          <w:rFonts w:ascii="Times New Roman" w:cs="Times New Roman" w:eastAsia="Times New Roman" w:hAnsi="Times New Roman"/>
          <w:b w:val="1"/>
          <w:bCs w:val="1"/>
          <w:rtl w:val="0"/>
        </w:rPr>
        <w:t xml:space="preserve">config/source_catalog.csv </w:t>
      </w:r>
      <w:r w:rsidDel="00000000" w:rsidR="00000000" w:rsidRPr="00000000">
        <w:rPr>
          <w:rFonts w:ascii="Times New Roman" w:cs="Times New Roman" w:eastAsia="Times New Roman" w:hAnsi="Times New Roman"/>
          <w:rtl w:val="0"/>
        </w:rPr>
        <w:t xml:space="preserve">En caso de que se trate de una nueva fuente, agregela y actualice el catalogo. En el Cuadro 2, se detallan algunos de la información necesaria a identificar de las nuevas fuentes a utilizar. </w:t>
      </w:r>
    </w:p>
    <w:p w:rsidR="00000000" w:rsidDel="00000000" w:rsidP="00000000" w:rsidRDefault="00000000" w:rsidRPr="00000000" w14:paraId="00000048">
      <w:pPr>
        <w:keepNext w:val="1"/>
        <w:spacing w:after="80" w:before="140" w:line="276" w:lineRule="auto"/>
        <w:rPr>
          <w:sz w:val="19"/>
          <w:szCs w:val="19"/>
        </w:rPr>
      </w:pPr>
      <w:r w:rsidDel="00000000" w:rsidR="00000000" w:rsidRPr="00000000">
        <w:rPr>
          <w:rFonts w:ascii="Times New Roman" w:cs="Times New Roman" w:eastAsia="Times New Roman" w:hAnsi="Times New Roman"/>
          <w:b w:val="1"/>
          <w:bCs w:val="1"/>
          <w:sz w:val="20"/>
          <w:szCs w:val="20"/>
          <w:rtl w:val="0"/>
        </w:rPr>
        <w:t xml:space="preserve">Cuadro 2. Campos mínimos para el registro documental de nuevas fuentes de datos.</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tcBorders>
              <w:top w:color="a6a6a6" w:space="0" w:sz="5" w:val="single"/>
              <w:left w:color="a6a6a6" w:space="0" w:sz="5" w:val="single"/>
              <w:bottom w:color="a6a6a6" w:space="0" w:sz="5" w:val="single"/>
              <w:right w:color="a6a6a6" w:space="0" w:sz="5" w:val="single"/>
            </w:tcBorders>
            <w:shd w:fill="ffffff" w:val="clear"/>
            <w:tcMar>
              <w:top w:w="80.0" w:type="dxa"/>
              <w:bottom w:w="80.0" w:type="dxa"/>
            </w:tcMar>
            <w:vAlign w:val="center"/>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Campo de registro</w:t>
            </w:r>
            <w:r w:rsidDel="00000000" w:rsidR="00000000" w:rsidRPr="00000000">
              <w:rPr>
                <w:rtl w:val="0"/>
              </w:rPr>
            </w:r>
          </w:p>
        </w:tc>
        <w:tc>
          <w:tcPr>
            <w:tcBorders>
              <w:top w:color="a6a6a6" w:space="0" w:sz="5" w:val="single"/>
              <w:left w:color="a6a6a6" w:space="0" w:sz="5" w:val="single"/>
              <w:bottom w:color="a6a6a6" w:space="0" w:sz="5" w:val="single"/>
              <w:right w:color="a6a6a6" w:space="0" w:sz="5" w:val="single"/>
            </w:tcBorders>
            <w:shd w:fill="ffffff" w:val="clear"/>
            <w:tcMar>
              <w:top w:w="80.0" w:type="dxa"/>
              <w:bottom w:w="80.0" w:type="dxa"/>
            </w:tcMar>
            <w:vAlign w:val="center"/>
          </w:tcPr>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Contenido esperado</w:t>
            </w:r>
            <w:r w:rsidDel="00000000" w:rsidR="00000000" w:rsidRPr="00000000">
              <w:rPr>
                <w:rtl w:val="0"/>
              </w:rPr>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id_fuente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único dentro del catálogo del proyecto.</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fuente_reporte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institucional y documental completo.</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institución</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Entidad productora, custodio o responsable.</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medio_obtención</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Portal, geoservicio, entrega institucional, repositorio o carpeta interna.</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país/ámbito</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País, región o área cubierta.</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años documentados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Año, rango o periodo real de referencia.</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de fuente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Puntual, vectorial, ráster, inventario, interpretación visual o fuente auxiliar.</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restricción de uso</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Dominio público, licencia, uso interno o limitaciones institucionales.</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documentación</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Metadatos, metodología, leyenda, precisión y validación disponibles.</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observaciones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Detalles que sean considerados importantes. </w:t>
            </w:r>
          </w:p>
        </w:tc>
      </w:tr>
    </w:tbl>
    <w:p w:rsidR="00000000" w:rsidDel="00000000" w:rsidP="00000000" w:rsidRDefault="00000000" w:rsidRPr="00000000" w14:paraId="0000005F">
      <w:pPr>
        <w:spacing w:line="269" w:lineRule="auto"/>
        <w:jc w:val="both"/>
        <w:rPr>
          <w:sz w:val="21"/>
          <w:szCs w:val="21"/>
        </w:rPr>
      </w:pPr>
      <w:r w:rsidDel="00000000" w:rsidR="00000000" w:rsidRPr="00000000">
        <w:rPr>
          <w:rtl w:val="0"/>
        </w:rPr>
      </w:r>
    </w:p>
    <w:p w:rsidR="00000000" w:rsidDel="00000000" w:rsidP="00000000" w:rsidRDefault="00000000" w:rsidRPr="00000000" w14:paraId="00000060">
      <w:pPr>
        <w:spacing w:after="120" w:line="269" w:lineRule="auto"/>
        <w:jc w:val="both"/>
        <w:rPr>
          <w:sz w:val="21"/>
          <w:szCs w:val="21"/>
        </w:rPr>
      </w:pPr>
      <w:r w:rsidDel="00000000" w:rsidR="00000000" w:rsidRPr="00000000">
        <w:rPr>
          <w:rtl w:val="0"/>
        </w:rPr>
      </w:r>
    </w:p>
    <w:p w:rsidR="00000000" w:rsidDel="00000000" w:rsidP="00000000" w:rsidRDefault="00000000" w:rsidRPr="00000000" w14:paraId="00000061">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Preparación según el tipo de fuente</w:t>
      </w:r>
    </w:p>
    <w:p w:rsidR="00000000" w:rsidDel="00000000" w:rsidP="00000000" w:rsidRDefault="00000000" w:rsidRPr="00000000" w14:paraId="00000062">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preparación tiene como propósito transformar una fuente heterogénea en una entrada consistente para las etapas de homologación, auditoría y evaluación de aptitud, sin alterar ni sustituir la evidencia original. Cada transformación debe generar una salida intermedia diferenciada, acompañada por su configuración, tablas de control y registro de ejecución.</w:t>
      </w:r>
    </w:p>
    <w:p w:rsidR="00000000" w:rsidDel="00000000" w:rsidP="00000000" w:rsidRDefault="00000000" w:rsidRPr="00000000" w14:paraId="00000063">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ruta de preparación depende de la geometría de la fuente, de la forma en que se representan las clases y del nivel de estructuración de sus atributos. Antes de ejecutar cualquier transformación, el responsable deberá identificar si la fuente corresponde a puntos, polígonos, un ráster categórico o una fuente auxiliar construida mediante la combinación de varios productos.</w:t>
      </w:r>
    </w:p>
    <w:p w:rsidR="00000000" w:rsidDel="00000000" w:rsidP="00000000" w:rsidRDefault="00000000" w:rsidRPr="00000000" w14:paraId="00000064">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 la ruta se controla mediante la configuración externa. El flujo de ejemplo implementado en </w:t>
      </w:r>
      <w:r w:rsidDel="00000000" w:rsidR="00000000" w:rsidRPr="00000000">
        <w:rPr>
          <w:rFonts w:ascii="Times New Roman" w:cs="Times New Roman" w:eastAsia="Times New Roman" w:hAnsi="Times New Roman"/>
          <w:i w:val="1"/>
          <w:iCs w:val="1"/>
          <w:rtl w:val="0"/>
        </w:rPr>
        <w:t xml:space="preserve">src/actividad_3/sampling.py</w:t>
      </w:r>
      <w:r w:rsidDel="00000000" w:rsidR="00000000" w:rsidRPr="00000000">
        <w:rPr>
          <w:rFonts w:ascii="Times New Roman" w:cs="Times New Roman" w:eastAsia="Times New Roman" w:hAnsi="Times New Roman"/>
          <w:rtl w:val="0"/>
        </w:rPr>
        <w:t xml:space="preserve"> permite declarar el tipo de fuente mediante </w:t>
      </w:r>
      <w:r w:rsidDel="00000000" w:rsidR="00000000" w:rsidRPr="00000000">
        <w:rPr>
          <w:rFonts w:ascii="Times New Roman" w:cs="Times New Roman" w:eastAsia="Times New Roman" w:hAnsi="Times New Roman"/>
          <w:i w:val="1"/>
          <w:iCs w:val="1"/>
          <w:rtl w:val="0"/>
        </w:rPr>
        <w:t xml:space="preserve">inputs.thematic_source.source_type</w:t>
      </w:r>
      <w:r w:rsidDel="00000000" w:rsidR="00000000" w:rsidRPr="00000000">
        <w:rPr>
          <w:rFonts w:ascii="Times New Roman" w:cs="Times New Roman" w:eastAsia="Times New Roman" w:hAnsi="Times New Roman"/>
          <w:rtl w:val="0"/>
        </w:rPr>
        <w:t xml:space="preserve"> y separar la configuración específica de fuentes vectoriales y ráster. Esta estructura evita modificar directamente el código para cada nuevo caso y permite mantener compatibilidad con configuraciones anteriores.</w:t>
      </w:r>
    </w:p>
    <w:p w:rsidR="00000000" w:rsidDel="00000000" w:rsidP="00000000" w:rsidRDefault="00000000" w:rsidRPr="00000000" w14:paraId="00000065">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120" w:line="269"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Fuentes puntuales</w:t>
      </w:r>
    </w:p>
    <w:p w:rsidR="00000000" w:rsidDel="00000000" w:rsidP="00000000" w:rsidRDefault="00000000" w:rsidRPr="00000000" w14:paraId="00000067">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la fuente ya contiene puntos, el procedimiento se concentra en revisar coordenadas, geometría, CRS, año, identificadores, clases, país y duplicidades. Los campos de longitud y latitud deben ser coherentes con la geometría; cuando exista discrepancia, la corrección no debe realizarse sin documentar cuál representación se considera autoritativa. Los puntos de campo, inventarios y mallas de fotointerpretación deben conservar su identificador original. Cuando este no exista, se genera un identificador interno y se documenta su origen. </w:t>
      </w:r>
    </w:p>
    <w:p w:rsidR="00000000" w:rsidDel="00000000" w:rsidP="00000000" w:rsidRDefault="00000000" w:rsidRPr="00000000" w14:paraId="00000068">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configuración básica puede incluir:</w:t>
      </w:r>
    </w:p>
    <w:p w:rsidR="00000000" w:rsidDel="00000000" w:rsidP="00000000" w:rsidRDefault="00000000" w:rsidRPr="00000000" w14:paraId="00000069">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YMAL</w:t>
      </w:r>
    </w:p>
    <w:p w:rsidR="00000000" w:rsidDel="00000000" w:rsidP="00000000" w:rsidRDefault="00000000" w:rsidRPr="00000000" w14:paraId="0000006A">
      <w:pPr>
        <w:spacing w:after="0" w:line="269" w:lineRule="auto"/>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w:t>
      </w:r>
    </w:p>
    <w:p w:rsidR="00000000" w:rsidDel="00000000" w:rsidP="00000000" w:rsidRDefault="00000000" w:rsidRPr="00000000" w14:paraId="0000006B">
      <w:pPr>
        <w:spacing w:after="0" w:line="269" w:lineRule="auto"/>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expected_crs: "EPSG:4326"</w:t>
      </w:r>
    </w:p>
    <w:p w:rsidR="00000000" w:rsidDel="00000000" w:rsidP="00000000" w:rsidRDefault="00000000" w:rsidRPr="00000000" w14:paraId="0000006C">
      <w:pPr>
        <w:spacing w:after="0" w:line="269" w:lineRule="auto"/>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coordinate_precision: 6</w:t>
      </w:r>
    </w:p>
    <w:p w:rsidR="00000000" w:rsidDel="00000000" w:rsidP="00000000" w:rsidRDefault="00000000" w:rsidRPr="00000000" w14:paraId="0000006D">
      <w:pPr>
        <w:spacing w:after="0" w:line="269" w:lineRule="auto"/>
        <w:ind w:left="36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line="269" w:lineRule="auto"/>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xy_groups:</w:t>
      </w:r>
    </w:p>
    <w:p w:rsidR="00000000" w:rsidDel="00000000" w:rsidP="00000000" w:rsidRDefault="00000000" w:rsidRPr="00000000" w14:paraId="0000006F">
      <w:pPr>
        <w:spacing w:after="0" w:line="269" w:lineRule="auto"/>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id_namespace: "FUENTE_PAIS_ANIO"</w:t>
      </w:r>
    </w:p>
    <w:p w:rsidR="00000000" w:rsidDel="00000000" w:rsidP="00000000" w:rsidRDefault="00000000" w:rsidRPr="00000000" w14:paraId="00000070">
      <w:pPr>
        <w:spacing w:after="0" w:line="269" w:lineRule="auto"/>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id_strategy: "hash"</w:t>
      </w:r>
    </w:p>
    <w:p w:rsidR="00000000" w:rsidDel="00000000" w:rsidP="00000000" w:rsidRDefault="00000000" w:rsidRPr="00000000" w14:paraId="00000071">
      <w:pPr>
        <w:spacing w:after="0" w:line="269" w:lineRule="auto"/>
        <w:ind w:left="3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hash_length: 12</w:t>
      </w:r>
    </w:p>
    <w:p w:rsidR="00000000" w:rsidDel="00000000" w:rsidP="00000000" w:rsidRDefault="00000000" w:rsidRPr="00000000" w14:paraId="00000072">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mayor detalle se debe revisar la creada en: </w:t>
      </w:r>
    </w:p>
    <w:p w:rsidR="00000000" w:rsidDel="00000000" w:rsidP="00000000" w:rsidRDefault="00000000" w:rsidRPr="00000000" w14:paraId="00000073">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config/a3_auditorias_nuevas_fuentes/caso_SINAC/config_sinac_src10_2021.yaml</w:t>
      </w:r>
    </w:p>
    <w:p w:rsidR="00000000" w:rsidDel="00000000" w:rsidP="00000000" w:rsidRDefault="00000000" w:rsidRPr="00000000" w14:paraId="00000074">
      <w:pPr>
        <w:spacing w:after="120" w:line="269" w:lineRule="auto"/>
        <w:jc w:val="both"/>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075">
      <w:pPr>
        <w:spacing w:after="120" w:line="269"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Fuentes vectoriales de polígonos</w:t>
      </w:r>
    </w:p>
    <w:p w:rsidR="00000000" w:rsidDel="00000000" w:rsidP="00000000" w:rsidRDefault="00000000" w:rsidRPr="00000000" w14:paraId="00000076">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fuentes poligonales se debe validar el CRS, revisar y reparar geometrías, recortar al área de interés, calcular áreas e identificar los fragmentos generados por la intersección. La reparación geométrica debe generar una capa nueva y nunca reemplazar el archivo recibido.</w:t>
      </w:r>
    </w:p>
    <w:p w:rsidR="00000000" w:rsidDel="00000000" w:rsidP="00000000" w:rsidRDefault="00000000" w:rsidRPr="00000000" w14:paraId="00000077">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de referencia (ver: `src/actividad_3/</w:t>
      </w:r>
      <w:hyperlink r:id="rId7">
        <w:r w:rsidDel="00000000" w:rsidR="00000000" w:rsidRPr="00000000">
          <w:rPr>
            <w:rFonts w:ascii="Times New Roman" w:cs="Times New Roman" w:eastAsia="Times New Roman" w:hAnsi="Times New Roman"/>
            <w:u w:val="single"/>
            <w:rtl w:val="0"/>
          </w:rPr>
          <w:t xml:space="preserve">sampling.py</w:t>
        </w:r>
      </w:hyperlink>
      <w:r w:rsidDel="00000000" w:rsidR="00000000" w:rsidRPr="00000000">
        <w:rPr>
          <w:rFonts w:ascii="Times New Roman" w:cs="Times New Roman" w:eastAsia="Times New Roman" w:hAnsi="Times New Roman"/>
          <w:rtl w:val="0"/>
        </w:rPr>
        <w:t xml:space="preserve">`) verifica campos de clase, conserva el identificador del objeto fuente cuando está disponible y genera campos comunes como </w:t>
      </w:r>
      <w:r w:rsidDel="00000000" w:rsidR="00000000" w:rsidRPr="00000000">
        <w:rPr>
          <w:rFonts w:ascii="Times New Roman" w:cs="Times New Roman" w:eastAsia="Times New Roman" w:hAnsi="Times New Roman"/>
          <w:rtl w:val="0"/>
        </w:rPr>
        <w:t xml:space="preserve">source_uid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class_id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class_label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stratum_id</w:t>
      </w:r>
      <w:r w:rsidDel="00000000" w:rsidR="00000000" w:rsidRPr="00000000">
        <w:rPr>
          <w:rFonts w:ascii="Times New Roman" w:cs="Times New Roman" w:eastAsia="Times New Roman" w:hAnsi="Times New Roman"/>
          <w:rtl w:val="0"/>
        </w:rPr>
        <w:t xml:space="preserve"> y área en hectáreas.</w:t>
      </w:r>
    </w:p>
    <w:p w:rsidR="00000000" w:rsidDel="00000000" w:rsidP="00000000" w:rsidRDefault="00000000" w:rsidRPr="00000000" w14:paraId="00000078">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cálculos de áreas y distancias deben ejecutarse en un CRS proyectado con unidades métricas. La implementación valida que el CRS de procesamiento sea proyectado y utilice metros.</w:t>
      </w:r>
    </w:p>
    <w:p w:rsidR="00000000" w:rsidDel="00000000" w:rsidP="00000000" w:rsidRDefault="00000000" w:rsidRPr="00000000" w14:paraId="00000079">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configuración resumida sería:</w:t>
      </w:r>
    </w:p>
    <w:p w:rsidR="00000000" w:rsidDel="00000000" w:rsidP="00000000" w:rsidRDefault="00000000" w:rsidRPr="00000000" w14:paraId="0000007A">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YMAL</w:t>
      </w:r>
    </w:p>
    <w:p w:rsidR="00000000" w:rsidDel="00000000" w:rsidP="00000000" w:rsidRDefault="00000000" w:rsidRPr="00000000" w14:paraId="0000007B">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crs:</w:t>
      </w:r>
    </w:p>
    <w:p w:rsidR="00000000" w:rsidDel="00000000" w:rsidP="00000000" w:rsidRDefault="00000000" w:rsidRPr="00000000" w14:paraId="0000007C">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processing_crs: "EPSG:XXXX"</w:t>
      </w:r>
    </w:p>
    <w:p w:rsidR="00000000" w:rsidDel="00000000" w:rsidP="00000000" w:rsidRDefault="00000000" w:rsidRPr="00000000" w14:paraId="0000007D">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output_crs: "EPSG:4326"</w:t>
      </w:r>
    </w:p>
    <w:p w:rsidR="00000000" w:rsidDel="00000000" w:rsidP="00000000" w:rsidRDefault="00000000" w:rsidRPr="00000000" w14:paraId="0000007E">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geometry:</w:t>
      </w:r>
    </w:p>
    <w:p w:rsidR="00000000" w:rsidDel="00000000" w:rsidP="00000000" w:rsidRDefault="00000000" w:rsidRPr="00000000" w14:paraId="0000007F">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repair_invalid: true</w:t>
      </w:r>
    </w:p>
    <w:p w:rsidR="00000000" w:rsidDel="00000000" w:rsidP="00000000" w:rsidRDefault="00000000" w:rsidRPr="00000000" w14:paraId="00000080">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minimum_fragment_area_ha: 0.0</w:t>
      </w:r>
    </w:p>
    <w:p w:rsidR="00000000" w:rsidDel="00000000" w:rsidP="00000000" w:rsidRDefault="00000000" w:rsidRPr="00000000" w14:paraId="00000081">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w:t>
      </w:r>
    </w:p>
    <w:p w:rsidR="00000000" w:rsidDel="00000000" w:rsidP="00000000" w:rsidRDefault="00000000" w:rsidRPr="00000000" w14:paraId="00000082">
      <w:pPr>
        <w:spacing w:after="0" w:line="269"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representative_point_method: "point_on_surface"</w:t>
      </w:r>
    </w:p>
    <w:p w:rsidR="00000000" w:rsidDel="00000000" w:rsidP="00000000" w:rsidRDefault="00000000" w:rsidRPr="00000000" w14:paraId="00000083">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recorte debe conservar la relación entre el polígono original y sus fragmentos mediante campos como </w:t>
      </w:r>
      <w:r w:rsidDel="00000000" w:rsidR="00000000" w:rsidRPr="00000000">
        <w:rPr>
          <w:rFonts w:ascii="Times New Roman" w:cs="Times New Roman" w:eastAsia="Times New Roman" w:hAnsi="Times New Roman"/>
          <w:rtl w:val="0"/>
        </w:rPr>
        <w:t xml:space="preserve">source_objectid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source_uid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clip_id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source_area_ha</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rtl w:val="0"/>
        </w:rPr>
        <w:t xml:space="preserve">clipped_area_ha</w:t>
      </w:r>
      <w:r w:rsidDel="00000000" w:rsidR="00000000" w:rsidRPr="00000000">
        <w:rPr>
          <w:rFonts w:ascii="Times New Roman" w:cs="Times New Roman" w:eastAsia="Times New Roman" w:hAnsi="Times New Roman"/>
          <w:rtl w:val="0"/>
        </w:rPr>
        <w:t xml:space="preserve">. El código de referencia implementado permite aplicar un área mínima configurable después de la intersección.</w:t>
      </w:r>
    </w:p>
    <w:p w:rsidR="00000000" w:rsidDel="00000000" w:rsidP="00000000" w:rsidRDefault="00000000" w:rsidRPr="00000000" w14:paraId="00000084">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el flujo genera un punto interior por fragmento mediante </w:t>
      </w:r>
      <w:r w:rsidDel="00000000" w:rsidR="00000000" w:rsidRPr="00000000">
        <w:rPr>
          <w:rFonts w:ascii="Times New Roman" w:cs="Times New Roman" w:eastAsia="Times New Roman" w:hAnsi="Times New Roman"/>
          <w:rtl w:val="0"/>
        </w:rPr>
        <w:t xml:space="preserve">point_on_surface</w:t>
      </w:r>
      <w:r w:rsidDel="00000000" w:rsidR="00000000" w:rsidRPr="00000000">
        <w:rPr>
          <w:rFonts w:ascii="Times New Roman" w:cs="Times New Roman" w:eastAsia="Times New Roman" w:hAnsi="Times New Roman"/>
          <w:rtl w:val="0"/>
        </w:rPr>
        <w:t xml:space="preserve">. Este punto representa la unidad cartográfica y no debe interpretarse como una observación de campo independiente.</w:t>
      </w:r>
    </w:p>
    <w:p w:rsidR="00000000" w:rsidDel="00000000" w:rsidP="00000000" w:rsidRDefault="00000000" w:rsidRPr="00000000" w14:paraId="00000085">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requieran varios puntos por polígono, buffers internos o muestreo proporcional al área, estos procedimientos deberán justificarse y registrarse como extensiones específicas del caso. Para más detalles de la configuración análise: `config/mangrove_sampling.yaml`</w:t>
      </w:r>
    </w:p>
    <w:p w:rsidR="00000000" w:rsidDel="00000000" w:rsidP="00000000" w:rsidRDefault="00000000" w:rsidRPr="00000000" w14:paraId="00000086">
      <w:pPr>
        <w:pStyle w:val="Heading3"/>
        <w:keepNext w:val="0"/>
        <w:keepLines w:val="0"/>
        <w:spacing w:before="280" w:line="269" w:lineRule="auto"/>
        <w:jc w:val="both"/>
        <w:rPr>
          <w:rFonts w:ascii="Times New Roman" w:cs="Times New Roman" w:eastAsia="Times New Roman" w:hAnsi="Times New Roman"/>
          <w:b w:val="1"/>
          <w:bCs w:val="1"/>
          <w:color w:val="000000"/>
          <w:sz w:val="22"/>
          <w:szCs w:val="22"/>
        </w:rPr>
      </w:pPr>
      <w:bookmarkStart w:colFirst="0" w:colLast="0" w:name="_fq3luahgti5m" w:id="0"/>
      <w:bookmarkEnd w:id="0"/>
      <w:r w:rsidDel="00000000" w:rsidR="00000000" w:rsidRPr="00000000">
        <w:rPr>
          <w:rFonts w:ascii="Times New Roman" w:cs="Times New Roman" w:eastAsia="Times New Roman" w:hAnsi="Times New Roman"/>
          <w:b w:val="1"/>
          <w:bCs w:val="1"/>
          <w:color w:val="000000"/>
          <w:sz w:val="22"/>
          <w:szCs w:val="22"/>
          <w:rtl w:val="0"/>
        </w:rPr>
        <w:t xml:space="preserve">Fuentes ráster categóricas</w:t>
      </w:r>
    </w:p>
    <w:p w:rsidR="00000000" w:rsidDel="00000000" w:rsidP="00000000" w:rsidRDefault="00000000" w:rsidRPr="00000000" w14:paraId="00000087">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una fuente ráster se deben revisar el CRS, resolución, extensión, banda temática, tipo de dato, NoData y correspondencia entre valores de píxel y clases. Cuando exista una tabla VAT o una tabla externa de clases, debe comprobarse que todos los valores presentes en el ráster tengan un código y nombre documentados.</w:t>
      </w:r>
    </w:p>
    <w:p w:rsidR="00000000" w:rsidDel="00000000" w:rsidP="00000000" w:rsidRDefault="00000000" w:rsidRPr="00000000" w14:paraId="00000088">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puede declarar:</w:t>
      </w:r>
    </w:p>
    <w:p w:rsidR="00000000" w:rsidDel="00000000" w:rsidP="00000000" w:rsidRDefault="00000000" w:rsidRPr="00000000" w14:paraId="00000089">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YMAL</w:t>
      </w:r>
    </w:p>
    <w:p w:rsidR="00000000" w:rsidDel="00000000" w:rsidP="00000000" w:rsidRDefault="00000000" w:rsidRPr="00000000" w14:paraId="0000008A">
      <w:pPr>
        <w:spacing w:after="24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inputs:</w:t>
      </w:r>
    </w:p>
    <w:p w:rsidR="00000000" w:rsidDel="00000000" w:rsidP="00000000" w:rsidRDefault="00000000" w:rsidRPr="00000000" w14:paraId="0000008B">
      <w:pPr>
        <w:spacing w:after="24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raster:</w:t>
      </w:r>
    </w:p>
    <w:p w:rsidR="00000000" w:rsidDel="00000000" w:rsidP="00000000" w:rsidRDefault="00000000" w:rsidRPr="00000000" w14:paraId="0000008C">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path: "ruta/fuente.tif"</w:t>
      </w:r>
    </w:p>
    <w:p w:rsidR="00000000" w:rsidDel="00000000" w:rsidP="00000000" w:rsidRDefault="00000000" w:rsidRPr="00000000" w14:paraId="0000008D">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band: 1</w:t>
      </w:r>
    </w:p>
    <w:p w:rsidR="00000000" w:rsidDel="00000000" w:rsidP="00000000" w:rsidRDefault="00000000" w:rsidRPr="00000000" w14:paraId="0000008E">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nodata: 0</w:t>
      </w:r>
    </w:p>
    <w:p w:rsidR="00000000" w:rsidDel="00000000" w:rsidP="00000000" w:rsidRDefault="00000000" w:rsidRPr="00000000" w14:paraId="0000008F">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vat_dbf: "ruta/fuente.tif.vat.dbf"</w:t>
      </w:r>
    </w:p>
    <w:p w:rsidR="00000000" w:rsidDel="00000000" w:rsidP="00000000" w:rsidRDefault="00000000" w:rsidRPr="00000000" w14:paraId="00000090">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vat_cpg: "ruta/fuente.tif.vat.cpg"</w:t>
      </w:r>
    </w:p>
    <w:p w:rsidR="00000000" w:rsidDel="00000000" w:rsidP="00000000" w:rsidRDefault="00000000" w:rsidRPr="00000000" w14:paraId="00000091">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fields:</w:t>
      </w:r>
    </w:p>
    <w:p w:rsidR="00000000" w:rsidDel="00000000" w:rsidP="00000000" w:rsidRDefault="00000000" w:rsidRPr="00000000" w14:paraId="00000092">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raster_value: "Value"</w:t>
      </w:r>
    </w:p>
    <w:p w:rsidR="00000000" w:rsidDel="00000000" w:rsidP="00000000" w:rsidRDefault="00000000" w:rsidRPr="00000000" w14:paraId="00000093">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class_value: "Classvalue"</w:t>
      </w:r>
    </w:p>
    <w:p w:rsidR="00000000" w:rsidDel="00000000" w:rsidP="00000000" w:rsidRDefault="00000000" w:rsidRPr="00000000" w14:paraId="00000094">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class_name: "Class_name"</w:t>
      </w:r>
    </w:p>
    <w:p w:rsidR="00000000" w:rsidDel="00000000" w:rsidP="00000000" w:rsidRDefault="00000000" w:rsidRPr="00000000" w14:paraId="00000095">
      <w:pPr>
        <w:spacing w:after="24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class_name_en: "Name_Eng"</w:t>
      </w:r>
    </w:p>
    <w:p w:rsidR="00000000" w:rsidDel="00000000" w:rsidP="00000000" w:rsidRDefault="00000000" w:rsidRPr="00000000" w14:paraId="00000096">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crs:</w:t>
      </w:r>
    </w:p>
    <w:p w:rsidR="00000000" w:rsidDel="00000000" w:rsidP="00000000" w:rsidRDefault="00000000" w:rsidRPr="00000000" w14:paraId="00000097">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processing_crs: "EPSG:XXXX"</w:t>
      </w:r>
    </w:p>
    <w:p w:rsidR="00000000" w:rsidDel="00000000" w:rsidP="00000000" w:rsidRDefault="00000000" w:rsidRPr="00000000" w14:paraId="00000098">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output_crs: "EPSG:4326"</w:t>
      </w:r>
    </w:p>
    <w:p w:rsidR="00000000" w:rsidDel="00000000" w:rsidP="00000000" w:rsidRDefault="00000000" w:rsidRPr="00000000" w14:paraId="00000099">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sampling:</w:t>
      </w:r>
    </w:p>
    <w:p w:rsidR="00000000" w:rsidDel="00000000" w:rsidP="00000000" w:rsidRDefault="00000000" w:rsidRPr="00000000" w14:paraId="0000009B">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candidate_spacing_m: 250</w:t>
      </w:r>
    </w:p>
    <w:p w:rsidR="00000000" w:rsidDel="00000000" w:rsidP="00000000" w:rsidRDefault="00000000" w:rsidRPr="00000000" w14:paraId="0000009C">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class_representation:</w:t>
      </w:r>
    </w:p>
    <w:p w:rsidR="00000000" w:rsidDel="00000000" w:rsidP="00000000" w:rsidRDefault="00000000" w:rsidRPr="00000000" w14:paraId="0000009D">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enabled: true</w:t>
      </w:r>
    </w:p>
    <w:p w:rsidR="00000000" w:rsidDel="00000000" w:rsidP="00000000" w:rsidRDefault="00000000" w:rsidRPr="00000000" w14:paraId="0000009E">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class_field: "stratum_id"</w:t>
      </w:r>
    </w:p>
    <w:p w:rsidR="00000000" w:rsidDel="00000000" w:rsidP="00000000" w:rsidRDefault="00000000" w:rsidRPr="00000000" w14:paraId="0000009F">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minimum_points_per_class: 1</w:t>
      </w:r>
    </w:p>
    <w:p w:rsidR="00000000" w:rsidDel="00000000" w:rsidP="00000000" w:rsidRDefault="00000000" w:rsidRPr="00000000" w14:paraId="000000A0">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priority_classes:</w:t>
      </w:r>
    </w:p>
    <w:p w:rsidR="00000000" w:rsidDel="00000000" w:rsidP="00000000" w:rsidRDefault="00000000" w:rsidRPr="00000000" w14:paraId="000000A1">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enabled: true</w:t>
      </w:r>
    </w:p>
    <w:p w:rsidR="00000000" w:rsidDel="00000000" w:rsidP="00000000" w:rsidRDefault="00000000" w:rsidRPr="00000000" w14:paraId="000000A2">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field: "class_name"</w:t>
      </w:r>
    </w:p>
    <w:p w:rsidR="00000000" w:rsidDel="00000000" w:rsidP="00000000" w:rsidRDefault="00000000" w:rsidRPr="00000000" w14:paraId="000000A3">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values:</w:t>
      </w:r>
    </w:p>
    <w:p w:rsidR="00000000" w:rsidDel="00000000" w:rsidP="00000000" w:rsidRDefault="00000000" w:rsidRPr="00000000" w14:paraId="000000A4">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"Bosque de mangle"</w:t>
      </w:r>
    </w:p>
    <w:p w:rsidR="00000000" w:rsidDel="00000000" w:rsidP="00000000" w:rsidRDefault="00000000" w:rsidRPr="00000000" w14:paraId="000000A5">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minimum_points_per_class: 10</w:t>
      </w:r>
    </w:p>
    <w:p w:rsidR="00000000" w:rsidDel="00000000" w:rsidP="00000000" w:rsidRDefault="00000000" w:rsidRPr="00000000" w14:paraId="000000A6">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keep_protected_points_even_if_close: true</w:t>
      </w:r>
    </w:p>
    <w:p w:rsidR="00000000" w:rsidDel="00000000" w:rsidP="00000000" w:rsidRDefault="00000000" w:rsidRPr="00000000" w14:paraId="000000A7">
      <w:pPr>
        <w:spacing w:after="240" w:before="24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thinning_distances_m:</w:t>
      </w:r>
    </w:p>
    <w:p w:rsidR="00000000" w:rsidDel="00000000" w:rsidP="00000000" w:rsidRDefault="00000000" w:rsidRPr="00000000" w14:paraId="000000A8">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- 250</w:t>
      </w:r>
    </w:p>
    <w:p w:rsidR="00000000" w:rsidDel="00000000" w:rsidP="00000000" w:rsidRDefault="00000000" w:rsidRPr="00000000" w14:paraId="000000A9">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- 500</w:t>
      </w:r>
    </w:p>
    <w:p w:rsidR="00000000" w:rsidDel="00000000" w:rsidP="00000000" w:rsidRDefault="00000000" w:rsidRPr="00000000" w14:paraId="000000AA">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- 1000</w:t>
      </w:r>
    </w:p>
    <w:p w:rsidR="00000000" w:rsidDel="00000000" w:rsidP="00000000" w:rsidRDefault="00000000" w:rsidRPr="00000000" w14:paraId="000000AB">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- 2000</w:t>
      </w:r>
    </w:p>
    <w:p w:rsidR="00000000" w:rsidDel="00000000" w:rsidP="00000000" w:rsidRDefault="00000000" w:rsidRPr="00000000" w14:paraId="000000AC">
      <w:pPr>
        <w:spacing w:after="0" w:before="0" w:line="269"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- 3000</w:t>
      </w:r>
    </w:p>
    <w:p w:rsidR="00000000" w:rsidDel="00000000" w:rsidP="00000000" w:rsidRDefault="00000000" w:rsidRPr="00000000" w14:paraId="000000AD">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presente en: config/mapa_forestal_panama_sampling.yaml se documentó la banda, el NoData, los archivos VAT y los campos temáticos de la tabla asociada.</w:t>
      </w:r>
    </w:p>
    <w:p w:rsidR="00000000" w:rsidDel="00000000" w:rsidP="00000000" w:rsidRDefault="00000000" w:rsidRPr="00000000" w14:paraId="000000AE">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malla de candidatos debe generarse en un CRS métrico. En cada punto se extrae el valor de la banda, se excluyen NoData y valores no documentados, y se incorporan el código y nombre de la clase original. El código genérico permite definir el espaciamiento inicial mediante </w:t>
      </w:r>
      <w:r w:rsidDel="00000000" w:rsidR="00000000" w:rsidRPr="00000000">
        <w:rPr>
          <w:rFonts w:ascii="Times New Roman" w:cs="Times New Roman" w:eastAsia="Times New Roman" w:hAnsi="Times New Roman"/>
          <w:rtl w:val="0"/>
        </w:rPr>
        <w:t xml:space="preserve">candidate_spacing_m</w:t>
      </w:r>
      <w:r w:rsidDel="00000000" w:rsidR="00000000" w:rsidRPr="00000000">
        <w:rPr>
          <w:rFonts w:ascii="Times New Roman" w:cs="Times New Roman" w:eastAsia="Times New Roman" w:hAnsi="Times New Roman"/>
          <w:rtl w:val="0"/>
        </w:rPr>
        <w:t xml:space="preserve">, genera puntos dentro del área de interés y consulta posteriormente el valor del ráster.</w:t>
      </w:r>
    </w:p>
    <w:p w:rsidR="00000000" w:rsidDel="00000000" w:rsidP="00000000" w:rsidRDefault="00000000" w:rsidRPr="00000000" w14:paraId="000000AF">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espaciamiento inicial no debe confundirse con la resolución del ráster ni con la distancia mínima aplicada posteriormente:</w:t>
      </w:r>
    </w:p>
    <w:p w:rsidR="00000000" w:rsidDel="00000000" w:rsidP="00000000" w:rsidRDefault="00000000" w:rsidRPr="00000000" w14:paraId="000000B0">
      <w:pPr>
        <w:numPr>
          <w:ilvl w:val="0"/>
          <w:numId w:val="5"/>
        </w:numPr>
        <w:spacing w:after="0" w:afterAutospacing="0" w:before="240" w:line="26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resolución corresponde al tamaño del píxel;</w:t>
      </w:r>
    </w:p>
    <w:p w:rsidR="00000000" w:rsidDel="00000000" w:rsidP="00000000" w:rsidRDefault="00000000" w:rsidRPr="00000000" w14:paraId="000000B1">
      <w:pPr>
        <w:numPr>
          <w:ilvl w:val="0"/>
          <w:numId w:val="5"/>
        </w:numPr>
        <w:spacing w:after="0" w:afterAutospacing="0" w:before="0" w:beforeAutospacing="0" w:line="26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espaciamiento define la densidad inicial de candidatos;</w:t>
      </w:r>
    </w:p>
    <w:p w:rsidR="00000000" w:rsidDel="00000000" w:rsidP="00000000" w:rsidRDefault="00000000" w:rsidRPr="00000000" w14:paraId="000000B2">
      <w:pPr>
        <w:numPr>
          <w:ilvl w:val="0"/>
          <w:numId w:val="5"/>
        </w:numPr>
        <w:spacing w:after="240" w:before="0" w:beforeAutospacing="0" w:line="26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distancias de adelgazamiento controlan la separación final entre puntos.</w:t>
      </w:r>
    </w:p>
    <w:p w:rsidR="00000000" w:rsidDel="00000000" w:rsidP="00000000" w:rsidRDefault="00000000" w:rsidRPr="00000000" w14:paraId="000000B3">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w:t>
      </w:r>
      <w:r w:rsidDel="00000000" w:rsidR="00000000" w:rsidRPr="00000000">
        <w:rPr>
          <w:rFonts w:ascii="Times New Roman" w:cs="Times New Roman" w:eastAsia="Times New Roman" w:hAnsi="Times New Roman"/>
          <w:i w:val="1"/>
          <w:iCs w:val="1"/>
          <w:sz w:val="20"/>
          <w:szCs w:val="20"/>
          <w:rtl w:val="0"/>
        </w:rPr>
        <w:t xml:space="preserve">src/actividad_3/a3_sampling_nuevas_fuentes/mapa_forestal_panama/sampling_mapa_forestal_panama.py`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se utilizaron candidatos cada 250 m y escenarios de distancia de 250, 500, 1000, 2000 y 3000 m. También se protegió una representación mínima por clase y se debe considerar la representación de clases con baja extensión espacial, por ejemplo: manglares. Estos valores ilustran la parametrización del caso, pero deben ajustarse según la resolución, extensión, fragmentación y prioridad temática de cada fuente.</w:t>
      </w:r>
    </w:p>
    <w:p w:rsidR="00000000" w:rsidDel="00000000" w:rsidP="00000000" w:rsidRDefault="00000000" w:rsidRPr="00000000" w14:paraId="000000B4">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proximidad a bordes y la homogeneidad del vecindario pueden incorporarse mediante ventanas o distancias al límite. Sin embargo, estos controles deben presentarse como mejoras recomendadas, ya que el flujo actual consulta principalmente el valor del píxel en la posición del candidato.</w:t>
      </w:r>
    </w:p>
    <w:p w:rsidR="00000000" w:rsidDel="00000000" w:rsidP="00000000" w:rsidRDefault="00000000" w:rsidRPr="00000000" w14:paraId="000000B5">
      <w:pPr>
        <w:pStyle w:val="Heading1"/>
        <w:spacing w:before="240" w:line="269" w:lineRule="auto"/>
        <w:jc w:val="both"/>
        <w:rPr>
          <w:rFonts w:ascii="Times New Roman" w:cs="Times New Roman" w:eastAsia="Times New Roman" w:hAnsi="Times New Roman"/>
          <w:sz w:val="22"/>
          <w:szCs w:val="22"/>
        </w:rPr>
      </w:pPr>
      <w:bookmarkStart w:colFirst="0" w:colLast="0" w:name="_pi4ozd28w30k" w:id="1"/>
      <w:bookmarkEnd w:id="1"/>
      <w:r w:rsidDel="00000000" w:rsidR="00000000" w:rsidRPr="00000000">
        <w:rPr>
          <w:rFonts w:ascii="Times New Roman" w:cs="Times New Roman" w:eastAsia="Times New Roman" w:hAnsi="Times New Roman"/>
          <w:b w:val="1"/>
          <w:bCs w:val="1"/>
          <w:sz w:val="22"/>
          <w:szCs w:val="22"/>
          <w:rtl w:val="0"/>
        </w:rPr>
        <w:t xml:space="preserve">Generación y selección de puntos candidatos</w:t>
      </w:r>
      <w:r w:rsidDel="00000000" w:rsidR="00000000" w:rsidRPr="00000000">
        <w:rPr>
          <w:rtl w:val="0"/>
        </w:rPr>
      </w:r>
    </w:p>
    <w:p w:rsidR="00000000" w:rsidDel="00000000" w:rsidP="00000000" w:rsidRDefault="00000000" w:rsidRPr="00000000" w14:paraId="000000B6">
      <w:pPr>
        <w:spacing w:after="120" w:line="26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puntos candidatos constituyen la unidad de evaluación posterior. La estrategia debe equilibrar representación temática y redundancia espacial. La primera condición es asegurar que las clases disponibles no desaparezcan automáticamente por efecto del filtrado. La segunda es evitar que clases extensas o fuentes muy densas dominen el conjunto final.</w:t>
      </w:r>
    </w:p>
    <w:p w:rsidR="00000000" w:rsidDel="00000000" w:rsidP="00000000" w:rsidRDefault="00000000" w:rsidRPr="00000000" w14:paraId="000000B7">
      <w:pPr>
        <w:spacing w:after="120" w:line="26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representación mínima por clase se configura mediante un número de candidatos protegidos. El valor inicial de uno por clase puede ser útil para pruebas, pero no garantiza representatividad suficiente. Las clases prioritarias, raras o fragmentadas pueden requerir un mínimo mayor, tal y como se mencionó en el apartado anterior. La decisión debe relacionarse con la severidad del vacío y la cantidad de candidatos disponibles, no con un valor universal.</w:t>
      </w:r>
    </w:p>
    <w:p w:rsidR="00000000" w:rsidDel="00000000" w:rsidP="00000000" w:rsidRDefault="00000000" w:rsidRPr="00000000" w14:paraId="000000B8">
      <w:pPr>
        <w:spacing w:after="120" w:line="26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proteger la representación mínima se aplican escenarios de distancia. Los casos piloto utilizaron valores como 250, 500, 1 000, 2 000 y 3 000 m. Estos escenarios permiten observar el compromiso entre densidad, cobertura y conservación de clases. El escenario operativo se elige después de revisar tablas y mapas; no debe seleccionarse automáticamente la distancia más restrictiva.</w:t>
      </w:r>
    </w:p>
    <w:p w:rsidR="00000000" w:rsidDel="00000000" w:rsidP="00000000" w:rsidRDefault="00000000" w:rsidRPr="00000000" w14:paraId="000000B9">
      <w:pPr>
        <w:spacing w:after="120" w:line="269"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3. Parámetros configurables para la generación y selección espacial de puntos candidatos.</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80.0" w:type="dxa"/>
              <w:bottom w:w="80.0" w:type="dxa"/>
            </w:tcMar>
            <w:vAlign w:val="center"/>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Parámetro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80.0" w:type="dxa"/>
              <w:bottom w:w="80.0" w:type="dxa"/>
            </w:tcMar>
            <w:vAlign w:val="center"/>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Función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80.0" w:type="dxa"/>
              <w:bottom w:w="80.0" w:type="dxa"/>
            </w:tcMar>
            <w:vAlign w:val="center"/>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Clasificación</w:t>
            </w:r>
            <w:r w:rsidDel="00000000" w:rsidR="00000000" w:rsidRPr="00000000">
              <w:rPr>
                <w:rtl w:val="0"/>
              </w:rPr>
            </w:r>
          </w:p>
        </w:tc>
      </w:tr>
      <w:tr>
        <w:trPr>
          <w:cantSplit w:val="1"/>
          <w:tblHeader w:val="0"/>
        </w:trPr>
        <w:tc>
          <w:tcPr>
            <w:tcBorders>
              <w:top w:color="a6a6a6" w:space="0" w:sz="4" w:val="single"/>
            </w:tcBorders>
            <w:shd w:fill="ffffff" w:val="clear"/>
            <w:tcMar>
              <w:top w:w="80.0" w:type="dxa"/>
              <w:bottom w:w="80.0" w:type="dxa"/>
            </w:tcMar>
            <w:vAlign w:val="top"/>
          </w:tcPr>
          <w:p w:rsidR="00000000" w:rsidDel="00000000" w:rsidP="00000000" w:rsidRDefault="00000000" w:rsidRPr="00000000" w14:paraId="000000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candidate_spacing_m</w:t>
            </w:r>
            <w:r w:rsidDel="00000000" w:rsidR="00000000" w:rsidRPr="00000000">
              <w:rPr>
                <w:rtl w:val="0"/>
              </w:rPr>
            </w:r>
          </w:p>
        </w:tc>
        <w:tc>
          <w:tcPr>
            <w:tcBorders>
              <w:top w:color="a6a6a6" w:space="0" w:sz="4" w:val="single"/>
            </w:tcBorders>
            <w:shd w:fill="ffffff" w:val="clear"/>
            <w:tcMar>
              <w:top w:w="80.0" w:type="dxa"/>
              <w:bottom w:w="80.0" w:type="dxa"/>
            </w:tcMar>
            <w:vAlign w:val="top"/>
          </w:tcPr>
          <w:p w:rsidR="00000000" w:rsidDel="00000000" w:rsidP="00000000" w:rsidRDefault="00000000" w:rsidRPr="00000000" w14:paraId="000000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la densidad inicial de la malla en ráster.</w:t>
            </w:r>
          </w:p>
        </w:tc>
        <w:tc>
          <w:tcPr>
            <w:tcBorders>
              <w:top w:color="a6a6a6" w:space="0" w:sz="4" w:val="single"/>
            </w:tcBorders>
            <w:shd w:fill="ffffff" w:val="clear"/>
            <w:tcMar>
              <w:top w:w="80.0" w:type="dxa"/>
              <w:bottom w:w="80.0" w:type="dxa"/>
            </w:tcMar>
            <w:vAlign w:val="top"/>
          </w:tcPr>
          <w:p w:rsidR="00000000" w:rsidDel="00000000" w:rsidP="00000000" w:rsidRDefault="00000000" w:rsidRPr="00000000" w14:paraId="000000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Configurable por fuente.</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minimum_points_per_class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Protege una representación mínima por clase.</w:t>
            </w:r>
          </w:p>
        </w:tc>
        <w:tc>
          <w:tcPr>
            <w:shd w:fill="ffffff" w:val="clear"/>
            <w:tcMar>
              <w:top w:w="80.0" w:type="dxa"/>
              <w:bottom w:w="80.0" w:type="dxa"/>
            </w:tcMar>
            <w:vAlign w:val="top"/>
          </w:tcPr>
          <w:p w:rsidR="00000000" w:rsidDel="00000000" w:rsidP="00000000" w:rsidRDefault="00000000" w:rsidRPr="00000000" w14:paraId="000000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Recomendado, no universal.</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priority_classes</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Aumenta el mínimo para clases prioritarias.</w:t>
            </w:r>
          </w:p>
        </w:tc>
        <w:tc>
          <w:tcPr>
            <w:shd w:fill="ffffff" w:val="clear"/>
            <w:tcMar>
              <w:top w:w="80.0" w:type="dxa"/>
              <w:bottom w:w="80.0" w:type="dxa"/>
            </w:tcMar>
            <w:vAlign w:val="top"/>
          </w:tcPr>
          <w:p w:rsidR="00000000" w:rsidDel="00000000" w:rsidP="00000000" w:rsidRDefault="00000000" w:rsidRPr="00000000" w14:paraId="000000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Configurable según el vacío.</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C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thinning_distances_m</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C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Comparar escenarios de separación espacial.</w:t>
            </w:r>
          </w:p>
        </w:tc>
        <w:tc>
          <w:tcPr>
            <w:shd w:fill="ffffff" w:val="clear"/>
            <w:tcMar>
              <w:top w:w="80.0" w:type="dxa"/>
              <w:bottom w:w="80.0" w:type="dxa"/>
            </w:tcMar>
            <w:vAlign w:val="top"/>
          </w:tcPr>
          <w:p w:rsidR="00000000" w:rsidDel="00000000" w:rsidP="00000000" w:rsidRDefault="00000000" w:rsidRPr="00000000" w14:paraId="000000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Configurable y auditable.</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C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selection_order</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Establece el orden reproducible de selección.</w:t>
            </w:r>
          </w:p>
        </w:tc>
        <w:tc>
          <w:tcPr>
            <w:shd w:fill="ffffff" w:val="clear"/>
            <w:tcMar>
              <w:top w:w="80.0" w:type="dxa"/>
              <w:bottom w:w="80.0" w:type="dxa"/>
            </w:tcMar>
            <w:vAlign w:val="top"/>
          </w:tcPr>
          <w:p w:rsidR="00000000" w:rsidDel="00000000" w:rsidP="00000000" w:rsidRDefault="00000000" w:rsidRPr="00000000" w14:paraId="000000C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Obligatorio documentar.</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C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keep_protected_points_even_if_close</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C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excepciones por representación temática.</w:t>
            </w:r>
          </w:p>
        </w:tc>
        <w:tc>
          <w:tcPr>
            <w:shd w:fill="ffffff" w:val="clear"/>
            <w:tcMar>
              <w:top w:w="80.0" w:type="dxa"/>
              <w:bottom w:w="80.0" w:type="dxa"/>
            </w:tcMar>
            <w:vAlign w:val="top"/>
          </w:tcPr>
          <w:p w:rsidR="00000000" w:rsidDel="00000000" w:rsidP="00000000" w:rsidRDefault="00000000" w:rsidRPr="00000000" w14:paraId="000000C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Condicionado y auditable.</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D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buffer_negative_m</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D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 posibles efectos de borde.</w:t>
            </w:r>
          </w:p>
        </w:tc>
        <w:tc>
          <w:tcPr>
            <w:shd w:fill="ffffff" w:val="clear"/>
            <w:tcMar>
              <w:top w:w="80.0" w:type="dxa"/>
              <w:bottom w:w="80.0" w:type="dxa"/>
            </w:tcMar>
            <w:vAlign w:val="top"/>
          </w:tcPr>
          <w:p w:rsidR="00000000" w:rsidDel="00000000" w:rsidP="00000000" w:rsidRDefault="00000000" w:rsidRPr="00000000" w14:paraId="000000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Opcional según geometría.</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D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minimum_area_ha</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Excluye fragmentos por debajo de un umbral.</w:t>
            </w:r>
          </w:p>
        </w:tc>
        <w:tc>
          <w:tcPr>
            <w:shd w:fill="ffffff" w:val="clear"/>
            <w:tcMar>
              <w:top w:w="80.0" w:type="dxa"/>
              <w:bottom w:w="80.0" w:type="dxa"/>
            </w:tcMar>
            <w:vAlign w:val="top"/>
          </w:tcPr>
          <w:p w:rsidR="00000000" w:rsidDel="00000000" w:rsidP="00000000" w:rsidRDefault="00000000" w:rsidRPr="00000000" w14:paraId="000000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Sólo con justificación temática.</w:t>
            </w:r>
          </w:p>
        </w:tc>
      </w:tr>
    </w:tbl>
    <w:p w:rsidR="00000000" w:rsidDel="00000000" w:rsidP="00000000" w:rsidRDefault="00000000" w:rsidRPr="00000000" w14:paraId="000000D6">
      <w:pPr>
        <w:spacing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1"/>
        <w:spacing w:before="240" w:line="269" w:lineRule="auto"/>
        <w:jc w:val="both"/>
        <w:rPr>
          <w:rFonts w:ascii="Times New Roman" w:cs="Times New Roman" w:eastAsia="Times New Roman" w:hAnsi="Times New Roman"/>
          <w:b w:val="1"/>
          <w:bCs w:val="1"/>
          <w:sz w:val="22"/>
          <w:szCs w:val="22"/>
        </w:rPr>
      </w:pPr>
      <w:bookmarkStart w:colFirst="0" w:colLast="0" w:name="_fqbzdpdf4xs1" w:id="2"/>
      <w:bookmarkEnd w:id="2"/>
      <w:r w:rsidDel="00000000" w:rsidR="00000000" w:rsidRPr="00000000">
        <w:rPr>
          <w:rFonts w:ascii="Times New Roman" w:cs="Times New Roman" w:eastAsia="Times New Roman" w:hAnsi="Times New Roman"/>
          <w:b w:val="1"/>
          <w:bCs w:val="1"/>
          <w:sz w:val="22"/>
          <w:szCs w:val="22"/>
          <w:rtl w:val="0"/>
        </w:rPr>
        <w:t xml:space="preserve">Homologación con la leyenda regional</w:t>
      </w:r>
      <w:r w:rsidDel="00000000" w:rsidR="00000000" w:rsidRPr="00000000">
        <w:rPr>
          <w:rtl w:val="0"/>
        </w:rPr>
      </w:r>
    </w:p>
    <w:p w:rsidR="00000000" w:rsidDel="00000000" w:rsidP="00000000" w:rsidRDefault="00000000" w:rsidRPr="00000000" w14:paraId="000000D8">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homologación establece la correspondencia entre la leyenda original y las clases regionales de referencia descritas en la actividad 1. Sobre lo anterior, no se debe confundir las clases regionales de referencia con la llave de clasificación propuesta en la actividad 2, estas se tratan de las clases sobre las que se realizaron las auditorías en la actividad 1, y a las cuales se les plantea todo un protocolo de auditorías, por tal razón y con el objetivo de homologar los procesos las nuevas fuentes de datos deben homologarse con estas para ser auditadas. </w:t>
      </w:r>
    </w:p>
    <w:p w:rsidR="00000000" w:rsidDel="00000000" w:rsidP="00000000" w:rsidRDefault="00000000" w:rsidRPr="00000000" w14:paraId="000000D9">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tomar como referencia las tablas de homologación hacia las clases regionales de referencia descritas en: </w:t>
      </w:r>
    </w:p>
    <w:p w:rsidR="00000000" w:rsidDel="00000000" w:rsidP="00000000" w:rsidRDefault="00000000" w:rsidRPr="00000000" w14:paraId="000000DA">
      <w:pPr>
        <w:numPr>
          <w:ilvl w:val="0"/>
          <w:numId w:val="3"/>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docs/actividad_3/A3_homologacion_nuevas_fuentes/homologacion_panama_propuesta_operativa_v1.xlsx</w:t>
      </w:r>
    </w:p>
    <w:p w:rsidR="00000000" w:rsidDel="00000000" w:rsidP="00000000" w:rsidRDefault="00000000" w:rsidRPr="00000000" w14:paraId="000000DB">
      <w:pPr>
        <w:numPr>
          <w:ilvl w:val="0"/>
          <w:numId w:val="3"/>
        </w:numPr>
        <w:spacing w:after="12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docs/actividad_3/A3_homologacion_nuevas_fuentes/homologacion_sinac_propuesta_operativa_v2.xlsx</w:t>
      </w:r>
    </w:p>
    <w:p w:rsidR="00000000" w:rsidDel="00000000" w:rsidP="00000000" w:rsidRDefault="00000000" w:rsidRPr="00000000" w14:paraId="000000DC">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Antes de aplicarla, se debe construir un catálogo completo de códigos y nombres originales. La revisión debe considerar definiciones, nivel de detalle, ámbito geográfico y posibles mezclas semánticas.</w:t>
      </w:r>
    </w:p>
    <w:p w:rsidR="00000000" w:rsidDel="00000000" w:rsidP="00000000" w:rsidRDefault="00000000" w:rsidRPr="00000000" w14:paraId="000000DD">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de correspondencias debe conservar el código, nombre y agrupación original, y añadir los campos `id_nivel_0`, `nivel_0`, `id_nivel_1`, `nivel_1`, `id_nivel_2` y `nivel_2`. Es importante revisar la documentación asociada a la actividad  1 y 2 del flujo de trabajo. </w:t>
      </w:r>
    </w:p>
    <w:p w:rsidR="00000000" w:rsidDel="00000000" w:rsidP="00000000" w:rsidRDefault="00000000" w:rsidRPr="00000000" w14:paraId="000000DE">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la fuente contenga una clase genérica como “cultivos”, “otras tierras” o “área heterogénea”, el protocolo debe evitar una asignación demasiado específica. Las correspondencias residuales o agregadas pueden continuar, pero con penalización temática, revisión o uso contextual según el scoring y la evidencia adicional.</w:t>
      </w:r>
    </w:p>
    <w:p w:rsidR="00000000" w:rsidDel="00000000" w:rsidP="00000000" w:rsidRDefault="00000000" w:rsidRPr="00000000" w14:paraId="000000DF">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proceso es fundamental para las siguientes etapas de auditorías, normalización y homologación con las clases de la llave de clasificación propuesta. Por tanto, debe asegurarse de que todo esté adecuado, de lo contrario los siguientes pasos se verán comprometidos. </w:t>
      </w:r>
    </w:p>
    <w:p w:rsidR="00000000" w:rsidDel="00000000" w:rsidP="00000000" w:rsidRDefault="00000000" w:rsidRPr="00000000" w14:paraId="000000E0">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de identificadores y grupos XY</w:t>
      </w:r>
      <w:r w:rsidDel="00000000" w:rsidR="00000000" w:rsidRPr="00000000">
        <w:rPr>
          <w:rtl w:val="0"/>
        </w:rPr>
      </w:r>
    </w:p>
    <w:p w:rsidR="00000000" w:rsidDel="00000000" w:rsidP="00000000" w:rsidRDefault="00000000" w:rsidRPr="00000000" w14:paraId="000000E2">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identificadores permiten auditar la fuente por ubicación, año y clase, para más detalles puede revisar lo realizado en la actividad 1 sobre este tema. Deben ser reproducibles, independientes del orden de lectura y resistentes a colisiones entre países y fuentes. Para ello se recomienda utilizar un namespace que incorpore el identificador de fuente, el código de país y el año. </w:t>
      </w:r>
    </w:p>
    <w:p w:rsidR="00000000" w:rsidDel="00000000" w:rsidP="00000000" w:rsidRDefault="00000000" w:rsidRPr="00000000" w14:paraId="000000E3">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4. Identificadores y agrupaciones espaciales utilizados para la trazabilidad de los registros.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80.0" w:type="dxa"/>
              <w:bottom w:w="80.0" w:type="dxa"/>
            </w:tcMar>
            <w:vAlign w:val="center"/>
          </w:tcPr>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80.0" w:type="dxa"/>
              <w:bottom w:w="80.0" w:type="dxa"/>
            </w:tcMar>
            <w:vAlign w:val="center"/>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Componentes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80.0" w:type="dxa"/>
              <w:bottom w:w="80.0" w:type="dxa"/>
            </w:tcMar>
            <w:vAlign w:val="center"/>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Uso principal</w:t>
            </w:r>
            <w:r w:rsidDel="00000000" w:rsidR="00000000" w:rsidRPr="00000000">
              <w:rPr>
                <w:rtl w:val="0"/>
              </w:rPr>
            </w:r>
          </w:p>
        </w:tc>
      </w:tr>
      <w:tr>
        <w:trPr>
          <w:cantSplit w:val="1"/>
          <w:tblHeader w:val="0"/>
        </w:trPr>
        <w:tc>
          <w:tcPr>
            <w:tcBorders>
              <w:top w:color="a6a6a6" w:space="0" w:sz="4" w:val="single"/>
            </w:tcBorders>
            <w:shd w:fill="ffffff" w:val="clear"/>
            <w:tcMar>
              <w:top w:w="80.0" w:type="dxa"/>
              <w:bottom w:w="80.0" w:type="dxa"/>
            </w:tcMar>
            <w:vAlign w:val="top"/>
          </w:tcPr>
          <w:p w:rsidR="00000000" w:rsidDel="00000000" w:rsidP="00000000" w:rsidRDefault="00000000" w:rsidRPr="00000000" w14:paraId="000000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id_registro</w:t>
            </w:r>
            <w:r w:rsidDel="00000000" w:rsidR="00000000" w:rsidRPr="00000000">
              <w:rPr>
                <w:rtl w:val="0"/>
              </w:rPr>
            </w:r>
          </w:p>
        </w:tc>
        <w:tc>
          <w:tcPr>
            <w:tcBorders>
              <w:top w:color="a6a6a6" w:space="0" w:sz="4" w:val="single"/>
            </w:tcBorders>
            <w:shd w:fill="ffffff" w:val="clear"/>
            <w:tcMar>
              <w:top w:w="80.0" w:type="dxa"/>
              <w:bottom w:w="80.0" w:type="dxa"/>
            </w:tcMar>
            <w:vAlign w:val="top"/>
          </w:tcPr>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 identificador original o hash.</w:t>
            </w:r>
          </w:p>
        </w:tc>
        <w:tc>
          <w:tcPr>
            <w:tcBorders>
              <w:top w:color="a6a6a6" w:space="0" w:sz="4" w:val="single"/>
            </w:tcBorders>
            <w:shd w:fill="ffffff" w:val="clear"/>
            <w:tcMar>
              <w:top w:w="80.0" w:type="dxa"/>
              <w:bottom w:w="80.0" w:type="dxa"/>
            </w:tcMar>
            <w:vAlign w:val="top"/>
          </w:tcPr>
          <w:p w:rsidR="00000000" w:rsidDel="00000000" w:rsidP="00000000" w:rsidRDefault="00000000" w:rsidRPr="00000000" w14:paraId="000000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Trazar cada fila o punto.</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source_uid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E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 unidad espacial de origen.</w:t>
            </w:r>
          </w:p>
        </w:tc>
        <w:tc>
          <w:tcPr>
            <w:shd w:fill="ffffff" w:val="clear"/>
            <w:tcMar>
              <w:top w:w="80.0" w:type="dxa"/>
              <w:bottom w:w="80.0" w:type="dxa"/>
            </w:tcMar>
            <w:vAlign w:val="top"/>
          </w:tcPr>
          <w:p w:rsidR="00000000" w:rsidDel="00000000" w:rsidP="00000000" w:rsidRDefault="00000000" w:rsidRPr="00000000" w14:paraId="000000E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Reconstruir el polígono, píxel o registro fuente.</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candidate_id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interno del candidato.</w:t>
            </w:r>
          </w:p>
        </w:tc>
        <w:tc>
          <w:tcPr>
            <w:shd w:fill="ffffff" w:val="clear"/>
            <w:tcMar>
              <w:top w:w="80.0" w:type="dxa"/>
              <w:bottom w:w="80.0" w:type="dxa"/>
            </w:tcMar>
            <w:vAlign w:val="top"/>
          </w:tcPr>
          <w:p w:rsidR="00000000" w:rsidDel="00000000" w:rsidP="00000000" w:rsidRDefault="00000000" w:rsidRPr="00000000" w14:paraId="000000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Auditar selección y rechazo.</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xy_group_id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Longitud + latitud normalizadas.</w:t>
            </w:r>
          </w:p>
        </w:tc>
        <w:tc>
          <w:tcPr>
            <w:shd w:fill="ffffff" w:val="clear"/>
            <w:tcMar>
              <w:top w:w="80.0" w:type="dxa"/>
              <w:bottom w:w="80.0" w:type="dxa"/>
            </w:tcMar>
            <w:vAlign w:val="top"/>
          </w:tcPr>
          <w:p w:rsidR="00000000" w:rsidDel="00000000" w:rsidP="00000000" w:rsidRDefault="00000000" w:rsidRPr="00000000" w14:paraId="000000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espacial principal.</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F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xy_year_group_id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XY + año.</w:t>
            </w:r>
          </w:p>
        </w:tc>
        <w:tc>
          <w:tcPr>
            <w:shd w:fill="ffffff" w:val="clear"/>
            <w:tcMar>
              <w:top w:w="80.0" w:type="dxa"/>
              <w:bottom w:w="80.0" w:type="dxa"/>
            </w:tcMar>
            <w:vAlign w:val="top"/>
          </w:tcPr>
          <w:p w:rsidR="00000000" w:rsidDel="00000000" w:rsidP="00000000" w:rsidRDefault="00000000" w:rsidRPr="00000000" w14:paraId="000000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coincidencias temporales.</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xy_class_group_id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F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XY + año + clase.</w:t>
            </w:r>
          </w:p>
        </w:tc>
        <w:tc>
          <w:tcPr>
            <w:shd w:fill="ffffff" w:val="clear"/>
            <w:tcMar>
              <w:top w:w="80.0" w:type="dxa"/>
              <w:bottom w:w="80.0" w:type="dxa"/>
            </w:tcMar>
            <w:vAlign w:val="top"/>
          </w:tcPr>
          <w:p w:rsidR="00000000" w:rsidDel="00000000" w:rsidP="00000000" w:rsidRDefault="00000000" w:rsidRPr="00000000" w14:paraId="000000F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redundancia y conflictos temáticos.</w:t>
            </w:r>
          </w:p>
        </w:tc>
      </w:tr>
      <w:tr>
        <w:trPr>
          <w:cantSplit w:val="1"/>
          <w:tblHeader w:val="0"/>
        </w:trPr>
        <w:tc>
          <w:tcPr>
            <w:shd w:fill="ffffff" w:val="clear"/>
            <w:tcMar>
              <w:top w:w="80.0" w:type="dxa"/>
              <w:bottom w:w="80.0" w:type="dxa"/>
            </w:tcMar>
            <w:vAlign w:val="top"/>
          </w:tcPr>
          <w:p w:rsidR="00000000" w:rsidDel="00000000" w:rsidP="00000000" w:rsidRDefault="00000000" w:rsidRPr="00000000" w14:paraId="000000F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extract_id</w:t>
            </w:r>
            <w:r w:rsidDel="00000000" w:rsidR="00000000" w:rsidRPr="00000000">
              <w:rPr>
                <w:rtl w:val="0"/>
              </w:rPr>
            </w:r>
          </w:p>
        </w:tc>
        <w:tc>
          <w:tcPr>
            <w:shd w:fill="ffffff" w:val="clear"/>
            <w:tcMar>
              <w:top w:w="80.0" w:type="dxa"/>
              <w:bottom w:w="80.0" w:type="dxa"/>
            </w:tcMar>
            <w:vAlign w:val="top"/>
          </w:tcPr>
          <w:p w:rsidR="00000000" w:rsidDel="00000000" w:rsidP="00000000" w:rsidRDefault="00000000" w:rsidRPr="00000000" w14:paraId="000000F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 única para extracción espectral.</w:t>
            </w:r>
          </w:p>
        </w:tc>
        <w:tc>
          <w:tcPr>
            <w:shd w:fill="ffffff" w:val="clear"/>
            <w:tcMar>
              <w:top w:w="80.0" w:type="dxa"/>
              <w:bottom w:w="80.0" w:type="dxa"/>
            </w:tcMar>
            <w:vAlign w:val="top"/>
          </w:tcPr>
          <w:p w:rsidR="00000000" w:rsidDel="00000000" w:rsidP="00000000" w:rsidRDefault="00000000" w:rsidRPr="00000000" w14:paraId="000000F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Unir solicitudes y resultados de GEE.</w:t>
            </w:r>
          </w:p>
        </w:tc>
      </w:tr>
    </w:tbl>
    <w:p w:rsidR="00000000" w:rsidDel="00000000" w:rsidP="00000000" w:rsidRDefault="00000000" w:rsidRPr="00000000" w14:paraId="000000FC">
      <w:pPr>
        <w:spacing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precisión de coordenadas debe definirse en la configuración. Los casos de ejemplo realizador utilizaron seis decimales en EPSG:4326,, pero la elección debe considerar la precisión real de la fuente. Lo anterior, también es coincidente con las configuraciones utilizadas en la Actividad 1. Redondear con mayor precisión de la que soporta el dato puede generar una falsa diferenciación entre puntos; redondear demasiado puede fusionar ubicaciones distintas.</w:t>
      </w:r>
    </w:p>
    <w:p w:rsidR="00000000" w:rsidDel="00000000" w:rsidP="00000000" w:rsidRDefault="00000000" w:rsidRPr="00000000" w14:paraId="000000FE">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caracterización de grupos debe identificar XY únicos, multitemporales estables, coincidencias entre fuentes con la misma clase, redundancias de la misma fuente y conflictos temáticos. Los conflictos no se eliminan automáticamente: se conservan como evidencia y se resuelven mediante temporalidad, trazabilidad, scoring y revisión experta.</w:t>
      </w:r>
    </w:p>
    <w:p w:rsidR="00000000" w:rsidDel="00000000" w:rsidP="00000000" w:rsidRDefault="00000000" w:rsidRPr="00000000" w14:paraId="000000FF">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acmplicar la comprensión de lo anterior revise con detenimiento lo siguiente: </w:t>
      </w:r>
    </w:p>
    <w:p w:rsidR="00000000" w:rsidDel="00000000" w:rsidP="00000000" w:rsidRDefault="00000000" w:rsidRPr="00000000" w14:paraId="00000100">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config/a3_auditorias_nuevas_fuentes/caso_panama_v2/config_mapa_forestal_panama_2021_a1.yaml</w:t>
      </w:r>
    </w:p>
    <w:p w:rsidR="00000000" w:rsidDel="00000000" w:rsidP="00000000" w:rsidRDefault="00000000" w:rsidRPr="00000000" w14:paraId="00000101">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config/a3_auditorias_nuevas_fuentes/caso_SINAC/config_sinac_src10_2021.yaml</w:t>
      </w:r>
    </w:p>
    <w:p w:rsidR="00000000" w:rsidDel="00000000" w:rsidP="00000000" w:rsidRDefault="00000000" w:rsidRPr="00000000" w14:paraId="00000102">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src/actividad_3/a3_auditorias_nuevas_fuentes/02_xy_groups_nuevas_fuentes.py</w:t>
      </w:r>
    </w:p>
    <w:p w:rsidR="00000000" w:rsidDel="00000000" w:rsidP="00000000" w:rsidRDefault="00000000" w:rsidRPr="00000000" w14:paraId="00000103">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src/actividad_3/a3_auditorias_nuevas_fuentes/caso_panama_v2/03_xy_groups_mapa_forestal_panama_a1.py</w:t>
      </w:r>
    </w:p>
    <w:p w:rsidR="00000000" w:rsidDel="00000000" w:rsidP="00000000" w:rsidRDefault="00000000" w:rsidRPr="00000000" w14:paraId="00000104">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src/actividad_3/a3_auditorias_nuevas_fuentes/caso_SINAC/03_xy_groups_sinac_a1.py</w:t>
      </w:r>
    </w:p>
    <w:p w:rsidR="00000000" w:rsidDel="00000000" w:rsidP="00000000" w:rsidRDefault="00000000" w:rsidRPr="00000000" w14:paraId="00000105">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src/actividad_3/a3_auditorias_nuevas_fuentes/03_s2_sr_gee_input_nuevas_fuentes_caso_SINAC.py</w:t>
      </w:r>
    </w:p>
    <w:p w:rsidR="00000000" w:rsidDel="00000000" w:rsidP="00000000" w:rsidRDefault="00000000" w:rsidRPr="00000000" w14:paraId="00000106">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src/actividad_3/a3_auditorias_nuevas_fuentes/caso_panama_v2/04_s2_sr_gee_input_mapa_forestal_panama_a1.py</w:t>
      </w:r>
    </w:p>
    <w:p w:rsidR="00000000" w:rsidDel="00000000" w:rsidP="00000000" w:rsidRDefault="00000000" w:rsidRPr="00000000" w14:paraId="00000107">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config/config.yaml</w:t>
      </w:r>
    </w:p>
    <w:p w:rsidR="00000000" w:rsidDel="00000000" w:rsidP="00000000" w:rsidRDefault="00000000" w:rsidRPr="00000000" w14:paraId="00000108">
      <w:pPr>
        <w:numPr>
          <w:ilvl w:val="0"/>
          <w:numId w:val="4"/>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src/actividad_1/spatial_audit.py</w:t>
      </w:r>
    </w:p>
    <w:p w:rsidR="00000000" w:rsidDel="00000000" w:rsidP="00000000" w:rsidRDefault="00000000" w:rsidRPr="00000000" w14:paraId="00000109">
      <w:pPr>
        <w:numPr>
          <w:ilvl w:val="0"/>
          <w:numId w:val="4"/>
        </w:numPr>
        <w:spacing w:after="12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docs/actividad_3/A3_03_Protocolo_replicacion_nuevas_fuentes/protocolo_replicacion_actividad_3_nuevas_fuentes.md</w:t>
      </w:r>
    </w:p>
    <w:p w:rsidR="00000000" w:rsidDel="00000000" w:rsidP="00000000" w:rsidRDefault="00000000" w:rsidRPr="00000000" w14:paraId="0000010A">
      <w:pPr>
        <w:spacing w:after="120" w:line="269"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Auditorías de calidad</w:t>
      </w:r>
    </w:p>
    <w:p w:rsidR="00000000" w:rsidDel="00000000" w:rsidP="00000000" w:rsidRDefault="00000000" w:rsidRPr="00000000" w14:paraId="0000010C">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auditorías convierten la fuente preparada en evidencia evaluable. En los casos de ejemplo desarrollados no todas las auditorías se ejecutaron como módulos independientes, sino como controles distribuidos dentro del flujo de preparación, homologación temática, generación de grupos XY, preparación GEE, unión Sentinel-2, auditoría espectral y scoring A1 compatible. Estas etapas adaptan criterios utilizados en la Actividad 1 y conservan evidencia en tablas, reportes y GeoPackage de salida. Por tanto, también se recomienda analizar con detenimiento lo realizado en la Actividad 1. </w:t>
      </w:r>
    </w:p>
    <w:p w:rsidR="00000000" w:rsidDel="00000000" w:rsidP="00000000" w:rsidRDefault="00000000" w:rsidRPr="00000000" w14:paraId="0000010D">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5. Dimensiones y objetivos de las auditorías de calidad aplicadas a nuevas fuentes de datos.</w:t>
      </w:r>
    </w:p>
    <w:tbl>
      <w:tblPr>
        <w:tblStyle w:val="Table5"/>
        <w:tblW w:w="896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386.999999999999"/>
        <w:tblGridChange w:id="0">
          <w:tblGrid>
            <w:gridCol w:w="2580"/>
            <w:gridCol w:w="6386.999999999999"/>
          </w:tblGrid>
        </w:tblGridChange>
      </w:tblGrid>
      <w:tr>
        <w:trPr>
          <w:cantSplit w:val="0"/>
          <w:trHeight w:val="371.769775390630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after="120" w:line="26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Dimensión evaluada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after="120" w:line="26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r w:rsidDel="00000000" w:rsidR="00000000" w:rsidRPr="00000000">
              <w:rPr>
                <w:rtl w:val="0"/>
              </w:rPr>
            </w:r>
          </w:p>
        </w:tc>
      </w:tr>
      <w:tr>
        <w:trPr>
          <w:cantSplit w:val="0"/>
          <w:trHeight w:val="587.999999999983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Confirmar fuente, país, año, identificadores y clase original.</w:t>
            </w:r>
          </w:p>
        </w:tc>
      </w:tr>
      <w:tr>
        <w:trPr>
          <w:cantSplit w:val="0"/>
          <w:trHeight w:val="326.99999999998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Estructural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Verificar campos mínimos e identificadores requeridos.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5">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Geométrica / CRS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6">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Verificar geometría, CRS esperado y coordenadas.</w:t>
            </w:r>
          </w:p>
        </w:tc>
      </w:tr>
      <w:tr>
        <w:trPr>
          <w:cantSplit w:val="0"/>
          <w:trHeight w:val="504.0000000000054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7">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XY / duplicidades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Caracterizar unidades por ubicación, año y clase.</w:t>
            </w:r>
          </w:p>
        </w:tc>
      </w:tr>
      <w:tr>
        <w:trPr>
          <w:cantSplit w:val="0"/>
          <w:trHeight w:val="459.0000000000054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A">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Confirmar año operativo y pertinencia de la fuente.</w:t>
            </w:r>
          </w:p>
        </w:tc>
      </w:tr>
      <w:tr>
        <w:trPr>
          <w:cantSplit w:val="0"/>
          <w:trHeight w:val="473.539550781260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B">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Temática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Homologar clases originales a la leyenda Actividad 1 y marcar casos ambiguos.</w:t>
            </w:r>
          </w:p>
        </w:tc>
      </w:tr>
      <w:tr>
        <w:trPr>
          <w:cantSplit w:val="0"/>
          <w:trHeight w:val="363.000000000010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Representatividad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E">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Medir cantidad de registros por clase homologada.</w:t>
            </w:r>
          </w:p>
        </w:tc>
      </w:tr>
      <w:tr>
        <w:trPr>
          <w:cantSplit w:val="0"/>
          <w:trHeight w:val="414.0000000000054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F">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Redundancia espacial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densidad/distancia cuando la fuente proviene de muestreo.</w:t>
            </w:r>
          </w:p>
        </w:tc>
      </w:tr>
      <w:tr>
        <w:trPr>
          <w:cantSplit w:val="0"/>
          <w:trHeight w:val="410.9999999999945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Espectral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2">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disponibilidad y coherencia Sentinel-2.</w:t>
            </w:r>
          </w:p>
        </w:tc>
      </w:tr>
      <w:tr>
        <w:trPr>
          <w:cantSplit w:val="0"/>
          <w:trHeight w:val="408.000000000010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3">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Integral / scoring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4">
            <w:pPr>
              <w:spacing w:after="120" w:line="26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Integrar evidencia en una categoría de aptitud preliminar.</w:t>
            </w:r>
          </w:p>
        </w:tc>
      </w:tr>
    </w:tbl>
    <w:p w:rsidR="00000000" w:rsidDel="00000000" w:rsidP="00000000" w:rsidRDefault="00000000" w:rsidRPr="00000000" w14:paraId="00000125">
      <w:pPr>
        <w:spacing w:after="120" w:line="269" w:lineRule="auto"/>
        <w:jc w:val="both"/>
        <w:rPr>
          <w:sz w:val="21"/>
          <w:szCs w:val="21"/>
        </w:rPr>
      </w:pPr>
      <w:r w:rsidDel="00000000" w:rsidR="00000000" w:rsidRPr="00000000">
        <w:rPr>
          <w:rtl w:val="0"/>
        </w:rPr>
      </w:r>
    </w:p>
    <w:p w:rsidR="00000000" w:rsidDel="00000000" w:rsidP="00000000" w:rsidRDefault="00000000" w:rsidRPr="00000000" w14:paraId="00000126">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profundizar más se solicita revisar: </w:t>
      </w:r>
    </w:p>
    <w:p w:rsidR="00000000" w:rsidDel="00000000" w:rsidP="00000000" w:rsidRDefault="00000000" w:rsidRPr="00000000" w14:paraId="00000127">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docs/actividad_3/A3_03_Protocolo_replicacion_nuevas_fuentes/protocolo_replicacion_actividad_3_nuevas_fuentes.md</w:t>
      </w:r>
    </w:p>
    <w:p w:rsidR="00000000" w:rsidDel="00000000" w:rsidP="00000000" w:rsidRDefault="00000000" w:rsidRPr="00000000" w14:paraId="00000128">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config/a3_auditorias_nuevas_fuentes/caso_SINAC/config_sinac_src10_2021.yaml</w:t>
      </w:r>
    </w:p>
    <w:p w:rsidR="00000000" w:rsidDel="00000000" w:rsidP="00000000" w:rsidRDefault="00000000" w:rsidRPr="00000000" w14:paraId="00000129">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config/a3_auditorias_nuevas_fuentes/caso_panama_v2/config_mapa_forestal_panama_2021_a1.yaml</w:t>
      </w:r>
    </w:p>
    <w:p w:rsidR="00000000" w:rsidDel="00000000" w:rsidP="00000000" w:rsidRDefault="00000000" w:rsidRPr="00000000" w14:paraId="0000012A">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src/actividad_3/a3_auditorias_nuevas_fuentes/caso_SINAC/01_preparar_sinac_src10_2021.py</w:t>
      </w:r>
    </w:p>
    <w:p w:rsidR="00000000" w:rsidDel="00000000" w:rsidP="00000000" w:rsidRDefault="00000000" w:rsidRPr="00000000" w14:paraId="0000012B">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src/actividad_3/a3_auditorias_nuevas_fuentes/caso_panama_v2/01_preparar_mapa_forestal_panama_a1.py</w:t>
      </w:r>
    </w:p>
    <w:p w:rsidR="00000000" w:rsidDel="00000000" w:rsidP="00000000" w:rsidRDefault="00000000" w:rsidRPr="00000000" w14:paraId="0000012C">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src/actividad_3/a3_auditorias_nuevas_fuentes/caso_SINAC/02_homologar_clases_a1_sinac.py</w:t>
      </w:r>
    </w:p>
    <w:p w:rsidR="00000000" w:rsidDel="00000000" w:rsidP="00000000" w:rsidRDefault="00000000" w:rsidRPr="00000000" w14:paraId="0000012D">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src/actividad_3/a3_auditorias_nuevas_fuentes/caso_panama_v2/02_homologar_clases_a1_panama.py</w:t>
      </w:r>
    </w:p>
    <w:p w:rsidR="00000000" w:rsidDel="00000000" w:rsidP="00000000" w:rsidRDefault="00000000" w:rsidRPr="00000000" w14:paraId="0000012E">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src/actividad_3/a3_auditorias_nuevas_fuentes/02_xy_groups_nuevas_fuentes.py</w:t>
      </w:r>
    </w:p>
    <w:p w:rsidR="00000000" w:rsidDel="00000000" w:rsidP="00000000" w:rsidRDefault="00000000" w:rsidRPr="00000000" w14:paraId="0000012F">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src/actividad_3/a3_auditorias_nuevas_fuentes/03_s2_sr_gee_input_nuevas_fuentes_caso_SINAC.py</w:t>
      </w:r>
    </w:p>
    <w:p w:rsidR="00000000" w:rsidDel="00000000" w:rsidP="00000000" w:rsidRDefault="00000000" w:rsidRPr="00000000" w14:paraId="00000130">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src/actividad_3/a3_auditorias_nuevas_fuentes/caso_panama_v2/04_s2_sr_gee_input_mapa_forestal_panama_a1.py</w:t>
      </w:r>
    </w:p>
    <w:p w:rsidR="00000000" w:rsidDel="00000000" w:rsidP="00000000" w:rsidRDefault="00000000" w:rsidRPr="00000000" w14:paraId="00000131">
      <w:pPr>
        <w:numPr>
          <w:ilvl w:val="0"/>
          <w:numId w:val="2"/>
        </w:numPr>
        <w:spacing w:after="0" w:afterAutospacing="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src/actividad_3/a3_auditorias_nuevas_fuentes/caso_SINAC/06_spectral_class_audit_sinac_a1.py</w:t>
      </w:r>
    </w:p>
    <w:p w:rsidR="00000000" w:rsidDel="00000000" w:rsidP="00000000" w:rsidRDefault="00000000" w:rsidRPr="00000000" w14:paraId="00000132">
      <w:pPr>
        <w:numPr>
          <w:ilvl w:val="0"/>
          <w:numId w:val="2"/>
        </w:numPr>
        <w:spacing w:after="120" w:line="26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src/actividad_3/a3_auditorias_nuevas_fuentes/caso_panama_v2/06_spectral_class_audit_mapa_forestal_panama_a1.py</w:t>
      </w:r>
    </w:p>
    <w:p w:rsidR="00000000" w:rsidDel="00000000" w:rsidP="00000000" w:rsidRDefault="00000000" w:rsidRPr="00000000" w14:paraId="00000133">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240" w:before="24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Scoring y preselección de datos</w:t>
      </w:r>
    </w:p>
    <w:p w:rsidR="00000000" w:rsidDel="00000000" w:rsidP="00000000" w:rsidRDefault="00000000" w:rsidRPr="00000000" w14:paraId="00000135">
      <w:pPr>
        <w:spacing w:after="240" w:before="24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scoring propuesto replica el esquema de salida de Actividad 1, pero con adaptaciones para nuevas fuentes. Integra criterios temporal, espacial, temático, espectral, confiabilidad, representatividad y fuente. La confiabilidad no proviene de conf_integrada; se deriva mediante una fórmula configurada como derivado_a3_sin_conf_integrada. </w:t>
      </w:r>
    </w:p>
    <w:p w:rsidR="00000000" w:rsidDel="00000000" w:rsidP="00000000" w:rsidRDefault="00000000" w:rsidRPr="00000000" w14:paraId="00000136">
      <w:pPr>
        <w:spacing w:after="120" w:line="269" w:lineRule="auto"/>
        <w:jc w:val="both"/>
        <w:rPr>
          <w:rFonts w:ascii="Times New Roman" w:cs="Times New Roman" w:eastAsia="Times New Roman" w:hAnsi="Times New Roman"/>
          <w:sz w:val="16"/>
          <w:szCs w:val="16"/>
        </w:rPr>
      </w:pPr>
      <m:oMath>
        <m:r>
          <w:rPr>
            <w:rFonts w:ascii="Times New Roman" w:cs="Times New Roman" w:eastAsia="Times New Roman" w:hAnsi="Times New Roman"/>
            <w:sz w:val="16"/>
            <w:szCs w:val="16"/>
          </w:rPr>
          <m:t xml:space="preserve">scor</m:t>
        </m:r>
        <m:sSub>
          <m:sSubPr>
            <m:ctrlPr>
              <w:rPr>
                <w:rFonts w:ascii="Times New Roman" w:cs="Times New Roman" w:eastAsia="Times New Roman" w:hAnsi="Times New Roman"/>
                <w:sz w:val="16"/>
                <w:szCs w:val="16"/>
              </w:rPr>
            </m:ctrlPr>
          </m:sSubPr>
          <m:e>
            <m:r>
              <w:rPr>
                <w:rFonts w:ascii="Times New Roman" w:cs="Times New Roman" w:eastAsia="Times New Roman" w:hAnsi="Times New Roman"/>
                <w:sz w:val="16"/>
                <w:szCs w:val="16"/>
              </w:rPr>
              <m:t xml:space="preserve">e</m:t>
            </m:r>
          </m:e>
          <m:sub>
            <m:r>
              <w:rPr>
                <w:rFonts w:ascii="Times New Roman" w:cs="Times New Roman" w:eastAsia="Times New Roman" w:hAnsi="Times New Roman"/>
                <w:sz w:val="16"/>
                <w:szCs w:val="16"/>
              </w:rPr>
              <m:t xml:space="preserve">confiabilidad </m:t>
            </m:r>
          </m:sub>
        </m:sSub>
        <m:r>
          <w:rPr>
            <w:rFonts w:ascii="Times New Roman" w:cs="Times New Roman" w:eastAsia="Times New Roman" w:hAnsi="Times New Roman"/>
            <w:sz w:val="16"/>
            <w:szCs w:val="16"/>
          </w:rPr>
          <m:t xml:space="preserve">= 0.35*scor</m:t>
        </m:r>
        <m:sSub>
          <m:sSubPr>
            <m:ctrlPr>
              <w:rPr>
                <w:rFonts w:ascii="Times New Roman" w:cs="Times New Roman" w:eastAsia="Times New Roman" w:hAnsi="Times New Roman"/>
                <w:sz w:val="16"/>
                <w:szCs w:val="16"/>
              </w:rPr>
            </m:ctrlPr>
          </m:sSubPr>
          <m:e>
            <m:r>
              <w:rPr>
                <w:rFonts w:ascii="Times New Roman" w:cs="Times New Roman" w:eastAsia="Times New Roman" w:hAnsi="Times New Roman"/>
                <w:sz w:val="16"/>
                <w:szCs w:val="16"/>
              </w:rPr>
              <m:t xml:space="preserve">e</m:t>
            </m:r>
          </m:e>
          <m:sub>
            <m:r>
              <w:rPr>
                <w:rFonts w:ascii="Times New Roman" w:cs="Times New Roman" w:eastAsia="Times New Roman" w:hAnsi="Times New Roman"/>
                <w:sz w:val="16"/>
                <w:szCs w:val="16"/>
              </w:rPr>
              <m:t xml:space="preserve">fuente</m:t>
            </m:r>
          </m:sub>
        </m:sSub>
        <m:r>
          <w:rPr>
            <w:rFonts w:ascii="Times New Roman" w:cs="Times New Roman" w:eastAsia="Times New Roman" w:hAnsi="Times New Roman"/>
            <w:sz w:val="16"/>
            <w:szCs w:val="16"/>
          </w:rPr>
          <m:t xml:space="preserve">+0.25 * scor</m:t>
        </m:r>
        <m:sSub>
          <m:sSubPr>
            <m:ctrlPr>
              <w:rPr>
                <w:rFonts w:ascii="Times New Roman" w:cs="Times New Roman" w:eastAsia="Times New Roman" w:hAnsi="Times New Roman"/>
                <w:sz w:val="16"/>
                <w:szCs w:val="16"/>
              </w:rPr>
            </m:ctrlPr>
          </m:sSubPr>
          <m:e>
            <m:r>
              <w:rPr>
                <w:rFonts w:ascii="Times New Roman" w:cs="Times New Roman" w:eastAsia="Times New Roman" w:hAnsi="Times New Roman"/>
                <w:sz w:val="16"/>
                <w:szCs w:val="16"/>
              </w:rPr>
              <m:t xml:space="preserve">e</m:t>
            </m:r>
          </m:e>
          <m:sub>
            <m:r>
              <w:rPr>
                <w:rFonts w:ascii="Times New Roman" w:cs="Times New Roman" w:eastAsia="Times New Roman" w:hAnsi="Times New Roman"/>
                <w:sz w:val="16"/>
                <w:szCs w:val="16"/>
              </w:rPr>
              <m:t xml:space="preserve">claridad semantica</m:t>
            </m:r>
          </m:sub>
        </m:sSub>
        <m:r>
          <w:rPr>
            <w:rFonts w:ascii="Times New Roman" w:cs="Times New Roman" w:eastAsia="Times New Roman" w:hAnsi="Times New Roman"/>
            <w:sz w:val="16"/>
            <w:szCs w:val="16"/>
          </w:rPr>
          <m:t xml:space="preserve">+ 0.20 * scor</m:t>
        </m:r>
        <m:sSub>
          <m:sSubPr>
            <m:ctrlPr>
              <w:rPr>
                <w:rFonts w:ascii="Times New Roman" w:cs="Times New Roman" w:eastAsia="Times New Roman" w:hAnsi="Times New Roman"/>
                <w:sz w:val="16"/>
                <w:szCs w:val="16"/>
              </w:rPr>
            </m:ctrlPr>
          </m:sSubPr>
          <m:e>
            <m:r>
              <w:rPr>
                <w:rFonts w:ascii="Times New Roman" w:cs="Times New Roman" w:eastAsia="Times New Roman" w:hAnsi="Times New Roman"/>
                <w:sz w:val="16"/>
                <w:szCs w:val="16"/>
              </w:rPr>
              <m:t xml:space="preserve">e</m:t>
            </m:r>
          </m:e>
          <m:sub>
            <m:r>
              <w:rPr>
                <w:rFonts w:ascii="Times New Roman" w:cs="Times New Roman" w:eastAsia="Times New Roman" w:hAnsi="Times New Roman"/>
                <w:sz w:val="16"/>
                <w:szCs w:val="16"/>
              </w:rPr>
              <m:t xml:space="preserve">consistencia clase</m:t>
            </m:r>
          </m:sub>
        </m:sSub>
        <m:r>
          <w:rPr>
            <w:rFonts w:ascii="Times New Roman" w:cs="Times New Roman" w:eastAsia="Times New Roman" w:hAnsi="Times New Roman"/>
            <w:sz w:val="16"/>
            <w:szCs w:val="16"/>
          </w:rPr>
          <m:t xml:space="preserve"> + 0.20 * scor</m:t>
        </m:r>
        <m:sSub>
          <m:sSubPr>
            <m:ctrlPr>
              <w:rPr>
                <w:rFonts w:ascii="Times New Roman" w:cs="Times New Roman" w:eastAsia="Times New Roman" w:hAnsi="Times New Roman"/>
                <w:sz w:val="16"/>
                <w:szCs w:val="16"/>
              </w:rPr>
            </m:ctrlPr>
          </m:sSubPr>
          <m:e>
            <m:r>
              <w:rPr>
                <w:rFonts w:ascii="Times New Roman" w:cs="Times New Roman" w:eastAsia="Times New Roman" w:hAnsi="Times New Roman"/>
                <w:sz w:val="16"/>
                <w:szCs w:val="16"/>
              </w:rPr>
              <m:t xml:space="preserve">e</m:t>
            </m:r>
          </m:e>
          <m:sub>
            <m:r>
              <w:rPr>
                <w:rFonts w:ascii="Times New Roman" w:cs="Times New Roman" w:eastAsia="Times New Roman" w:hAnsi="Times New Roman"/>
                <w:sz w:val="16"/>
                <w:szCs w:val="16"/>
              </w:rPr>
              <m:t xml:space="preserve">espacial</m:t>
            </m:r>
          </m:sub>
        </m:sSub>
      </m:oMath>
      <w:r w:rsidDel="00000000" w:rsidR="00000000" w:rsidRPr="00000000">
        <w:rPr>
          <w:rtl w:val="0"/>
        </w:rPr>
      </w:r>
    </w:p>
    <w:p w:rsidR="00000000" w:rsidDel="00000000" w:rsidP="00000000" w:rsidRDefault="00000000" w:rsidRPr="00000000" w14:paraId="00000137">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pesos utilizados para derivar el scroing total son los mismos de los utilizados en la Actividad 1, por lo que debe revisar la documentación ahí derivada para profundizar en lo desarrollado. </w:t>
      </w:r>
    </w:p>
    <w:p w:rsidR="00000000" w:rsidDel="00000000" w:rsidP="00000000" w:rsidRDefault="00000000" w:rsidRPr="00000000" w14:paraId="00000138">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6. Componentes y ponderaciones del scoring de aptitud de las nuevas fuentes de datos. </w:t>
      </w:r>
    </w:p>
    <w:tbl>
      <w:tblPr>
        <w:tblStyle w:val="Table6"/>
        <w:tblW w:w="4410.0" w:type="dxa"/>
        <w:jc w:val="left"/>
        <w:tblInd w:w="122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340"/>
        <w:tblGridChange w:id="0">
          <w:tblGrid>
            <w:gridCol w:w="2070"/>
            <w:gridCol w:w="2340"/>
          </w:tblGrid>
        </w:tblGridChange>
      </w:tblGrid>
      <w:tr>
        <w:trPr>
          <w:cantSplit w:val="0"/>
          <w:trHeight w:val="273.99279785155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12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12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Peso usado</w:t>
            </w:r>
            <w:r w:rsidDel="00000000" w:rsidR="00000000" w:rsidRPr="00000000">
              <w:rPr>
                <w:rtl w:val="0"/>
              </w:rPr>
            </w:r>
          </w:p>
        </w:tc>
      </w:tr>
      <w:tr>
        <w:trPr>
          <w:cantSplit w:val="0"/>
          <w:trHeight w:val="417.99279785156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w:t>
            </w:r>
          </w:p>
        </w:tc>
      </w:tr>
      <w:tr>
        <w:trPr>
          <w:cantSplit w:val="0"/>
          <w:trHeight w:val="417.99279785156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Espacial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w:t>
            </w:r>
          </w:p>
        </w:tc>
      </w:tr>
      <w:tr>
        <w:trPr>
          <w:cantSplit w:val="0"/>
          <w:trHeight w:val="417.99279785156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Temático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w:t>
            </w:r>
          </w:p>
        </w:tc>
      </w:tr>
      <w:tr>
        <w:trPr>
          <w:cantSplit w:val="0"/>
          <w:trHeight w:val="417.99279785156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Espectral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w:t>
            </w:r>
          </w:p>
        </w:tc>
      </w:tr>
      <w:tr>
        <w:trPr>
          <w:cantSplit w:val="0"/>
          <w:trHeight w:val="417.99279785156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w:t>
            </w:r>
          </w:p>
        </w:tc>
      </w:tr>
      <w:tr>
        <w:trPr>
          <w:cantSplit w:val="0"/>
          <w:trHeight w:val="417.992797851561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Representatividad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w:t>
            </w:r>
          </w:p>
        </w:tc>
      </w:tr>
      <w:tr>
        <w:trPr>
          <w:cantSplit w:val="0"/>
          <w:trHeight w:val="429.992797851573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12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w:t>
            </w:r>
          </w:p>
        </w:tc>
      </w:tr>
    </w:tbl>
    <w:p w:rsidR="00000000" w:rsidDel="00000000" w:rsidP="00000000" w:rsidRDefault="00000000" w:rsidRPr="00000000" w14:paraId="0000014A">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categorías de aptitud generadas se homologan al esquema de salida de la Actividad 1:</w:t>
      </w:r>
    </w:p>
    <w:p w:rsidR="00000000" w:rsidDel="00000000" w:rsidP="00000000" w:rsidRDefault="00000000" w:rsidRPr="00000000" w14:paraId="0000014C">
      <w:pPr>
        <w:spacing w:after="120" w:line="26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 7. Categorías operativas de aptitud y criterios para la preselección de datos.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2.029342914012"/>
        <w:gridCol w:w="2271.922686929635"/>
        <w:gridCol w:w="3161.559781179976"/>
        <w:tblGridChange w:id="0">
          <w:tblGrid>
            <w:gridCol w:w="3592.029342914012"/>
            <w:gridCol w:w="2271.922686929635"/>
            <w:gridCol w:w="3161.55978117997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Categoría de aptitud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Uso asociado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6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Criterio</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datos_para_entrenamiento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score_aptitud_total &gt;= 85</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datos_para_validacion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 &lt;= score_aptitud_total &lt; 85</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referencia_contextual_revision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referencia contextual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 &lt;= score_aptitud_total &lt; 70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mascara_exclusion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máscaras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6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score_aptitud_total &lt; 55</w:t>
            </w:r>
          </w:p>
        </w:tc>
      </w:tr>
    </w:tbl>
    <w:p w:rsidR="00000000" w:rsidDel="00000000" w:rsidP="00000000" w:rsidRDefault="00000000" w:rsidRPr="00000000" w14:paraId="0000015C">
      <w:pPr>
        <w:spacing w:after="120" w:line="26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120" w:line="26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igual que con la Actividad 1, estas categorías deben interpretarse como una preselección operativa. No sustituyen la revisión experta ni una decisión final de incorporación, especialmente cuando existan alertas temáticas, espaciales o espectrales.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mpling.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