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A06FF" w:rsidTr="00EC3290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6FF" w:rsidRDefault="00280500" w:rsidP="007F2B40">
            <w:pPr>
              <w:pStyle w:val="TableContents"/>
              <w:ind w:left="2160" w:hanging="2160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ColorC</w:t>
            </w:r>
            <w:r w:rsidR="004A1C44">
              <w:rPr>
                <w:sz w:val="32"/>
                <w:szCs w:val="32"/>
              </w:rPr>
              <w:t>ode</w:t>
            </w:r>
            <w:proofErr w:type="spellEnd"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06FF" w:rsidRDefault="004A1C44" w:rsidP="00B00D5B">
            <w:pPr>
              <w:pStyle w:val="TableContents"/>
              <w:rPr>
                <w:rFonts w:hint="eastAsia"/>
              </w:rPr>
            </w:pPr>
            <w:r>
              <w:t xml:space="preserve">Table </w:t>
            </w:r>
            <w:r w:rsidR="0013519F">
              <w:t>Proc</w:t>
            </w:r>
          </w:p>
        </w:tc>
      </w:tr>
    </w:tbl>
    <w:p w:rsidR="00EA06FF" w:rsidRDefault="00EA06FF" w:rsidP="00D1726B">
      <w:pPr>
        <w:pStyle w:val="Standard"/>
        <w:ind w:firstLine="720"/>
        <w:rPr>
          <w:rFonts w:hint="eastAsia"/>
        </w:rPr>
      </w:pPr>
    </w:p>
    <w:p w:rsidR="00EA06FF" w:rsidRDefault="00821868" w:rsidP="00EA06FF">
      <w:pPr>
        <w:pStyle w:val="Standard"/>
        <w:ind w:left="709"/>
        <w:rPr>
          <w:rFonts w:hint="eastAsia"/>
          <w:b/>
          <w:bCs/>
        </w:rPr>
      </w:pPr>
      <w:r>
        <w:rPr>
          <w:b/>
          <w:bCs/>
        </w:rPr>
        <w:t>Color code table based on values</w:t>
      </w:r>
      <w:r w:rsidR="00EA06FF">
        <w:rPr>
          <w:b/>
          <w:bCs/>
        </w:rPr>
        <w:t>.</w:t>
      </w:r>
    </w:p>
    <w:p w:rsidR="00EA06FF" w:rsidRPr="00D86DA6" w:rsidRDefault="00821868" w:rsidP="00310EE9">
      <w:pPr>
        <w:pStyle w:val="NoSpacing"/>
        <w:rPr>
          <w:rFonts w:hint="eastAsia"/>
        </w:rPr>
      </w:pPr>
      <w:proofErr w:type="spellStart"/>
      <w:proofErr w:type="gramStart"/>
      <w:r>
        <w:rPr>
          <w:rFonts w:ascii="Courier New" w:hAnsi="Courier New"/>
          <w:sz w:val="22"/>
          <w:szCs w:val="22"/>
        </w:rPr>
        <w:t>colorcode</w:t>
      </w:r>
      <w:proofErr w:type="spellEnd"/>
      <w:proofErr w:type="gramEnd"/>
      <w:r w:rsidR="00670420">
        <w:rPr>
          <w:rFonts w:ascii="Courier New" w:hAnsi="Courier New"/>
          <w:sz w:val="22"/>
          <w:szCs w:val="22"/>
        </w:rPr>
        <w:t xml:space="preserve"> </w:t>
      </w:r>
      <w:bookmarkStart w:id="0" w:name="_GoBack"/>
      <w:r w:rsidR="00D86DA6">
        <w:t>sets colors of cells in table according to values in the cells relative to the distribution of values</w:t>
      </w:r>
      <w:bookmarkEnd w:id="0"/>
      <w:r w:rsidR="00D86DA6">
        <w:t>.</w:t>
      </w:r>
    </w:p>
    <w:p w:rsidR="00EA06FF" w:rsidRDefault="00EA06FF" w:rsidP="00EA06FF">
      <w:pPr>
        <w:pStyle w:val="Standard"/>
        <w:ind w:left="709"/>
        <w:rPr>
          <w:rFonts w:hint="eastAsia"/>
        </w:rPr>
      </w:pPr>
    </w:p>
    <w:p w:rsidR="00EA06FF" w:rsidRDefault="00EA06FF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</w:t>
      </w:r>
    </w:p>
    <w:p w:rsidR="00EA06FF" w:rsidRPr="00670420" w:rsidRDefault="00670420" w:rsidP="00670420">
      <w:pPr>
        <w:pStyle w:val="Standard"/>
        <w:ind w:left="1418"/>
        <w:rPr>
          <w:rFonts w:hint="eastAsia"/>
        </w:rPr>
      </w:pPr>
      <w:r w:rsidRPr="00670420">
        <w:t>{%equation}</w:t>
      </w:r>
      <w:r w:rsidR="004343A5">
        <w:t>.</w:t>
      </w:r>
      <w:proofErr w:type="spellStart"/>
      <w:proofErr w:type="gramStart"/>
      <w:r w:rsidR="006809D0">
        <w:t>colorcode</w:t>
      </w:r>
      <w:proofErr w:type="spellEnd"/>
      <w:r w:rsidRPr="00670420">
        <w:t>(</w:t>
      </w:r>
      <w:proofErr w:type="gramEnd"/>
      <w:r w:rsidRPr="00670420">
        <w:t>options)</w:t>
      </w:r>
    </w:p>
    <w:p w:rsidR="00EA06FF" w:rsidRDefault="00EA06FF" w:rsidP="00EA06FF">
      <w:pPr>
        <w:pStyle w:val="Standard"/>
        <w:ind w:left="1418"/>
        <w:rPr>
          <w:rFonts w:hint="eastAsia"/>
        </w:rPr>
      </w:pPr>
    </w:p>
    <w:p w:rsidR="00EA06FF" w:rsidRDefault="00EA06FF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Options</w:t>
      </w:r>
    </w:p>
    <w:p w:rsidR="00EA06FF" w:rsidRDefault="00EA06FF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</w:p>
    <w:p w:rsidR="006D60C0" w:rsidRDefault="006D60C0" w:rsidP="00EA06FF">
      <w:pPr>
        <w:pStyle w:val="Standard"/>
        <w:ind w:left="709"/>
        <w:rPr>
          <w:rFonts w:hint="eastAsia"/>
          <w:b/>
          <w:bCs/>
        </w:rPr>
      </w:pPr>
    </w:p>
    <w:tbl>
      <w:tblPr>
        <w:tblW w:w="8550" w:type="dxa"/>
        <w:tblInd w:w="13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4950"/>
      </w:tblGrid>
      <w:tr w:rsidR="00B4492B" w:rsidTr="00B404F0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1B56E2">
            <w:pPr>
              <w:pStyle w:val="TableContents"/>
              <w:rPr>
                <w:rFonts w:hint="eastAsia"/>
                <w:i/>
              </w:rPr>
            </w:pPr>
            <w:r>
              <w:t>ROWS</w:t>
            </w:r>
            <w:r w:rsidR="001E6308">
              <w:t>=</w:t>
            </w:r>
            <w:proofErr w:type="spellStart"/>
            <w:r w:rsidR="001E6308" w:rsidRPr="001E6308">
              <w:rPr>
                <w:i/>
              </w:rPr>
              <w:t>arg</w:t>
            </w:r>
            <w:proofErr w:type="spellEnd"/>
            <w:r w:rsidR="00473552">
              <w:rPr>
                <w:i/>
              </w:rPr>
              <w:t>(s)</w:t>
            </w:r>
          </w:p>
          <w:p w:rsidR="00473552" w:rsidRPr="00473552" w:rsidRDefault="00473552" w:rsidP="001B56E2">
            <w:pPr>
              <w:pStyle w:val="TableContents"/>
              <w:rPr>
                <w:rFonts w:hint="eastAsia"/>
              </w:rPr>
            </w:pP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474D4B">
            <w:pPr>
              <w:pStyle w:val="TableContents"/>
              <w:rPr>
                <w:rFonts w:hint="eastAsia"/>
              </w:rPr>
            </w:pPr>
            <w:r>
              <w:t>Space-separated list of rows to color-code. Can be specified as range, e.g. 2-4 will include rows 2</w:t>
            </w:r>
            <w:proofErr w:type="gramStart"/>
            <w:r>
              <w:t>,3</w:t>
            </w:r>
            <w:proofErr w:type="gramEnd"/>
            <w:r>
              <w:t xml:space="preserve"> and 4.</w:t>
            </w:r>
            <w:r w:rsidR="00473552">
              <w:t xml:space="preserve"> As default all rows are specified.</w:t>
            </w:r>
          </w:p>
        </w:tc>
      </w:tr>
      <w:tr w:rsidR="00B4492B" w:rsidTr="00360F6B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1B56E2">
            <w:pPr>
              <w:pStyle w:val="TableContents"/>
              <w:rPr>
                <w:rFonts w:hint="eastAsia"/>
              </w:rPr>
            </w:pPr>
            <w:r>
              <w:t>COLS</w:t>
            </w:r>
            <w:r w:rsidR="001E6308">
              <w:t>=</w:t>
            </w:r>
            <w:proofErr w:type="spellStart"/>
            <w:r w:rsidR="001E6308" w:rsidRPr="001E6308">
              <w:rPr>
                <w:i/>
              </w:rPr>
              <w:t>arg</w:t>
            </w:r>
            <w:proofErr w:type="spellEnd"/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473552">
            <w:pPr>
              <w:pStyle w:val="TableContents"/>
              <w:rPr>
                <w:rFonts w:hint="eastAsia"/>
              </w:rPr>
            </w:pPr>
            <w:r>
              <w:t xml:space="preserve">Space-separated list of columns to color-code. Can be specified as range, e.g. 2-4 will include </w:t>
            </w:r>
            <w:r w:rsidR="00473552">
              <w:t>columns</w:t>
            </w:r>
            <w:r>
              <w:t xml:space="preserve"> 2</w:t>
            </w:r>
            <w:proofErr w:type="gramStart"/>
            <w:r>
              <w:t>,3</w:t>
            </w:r>
            <w:proofErr w:type="gramEnd"/>
            <w:r>
              <w:t xml:space="preserve"> and 4.</w:t>
            </w:r>
            <w:r w:rsidR="00473552">
              <w:t xml:space="preserve"> As default all rows are specified.</w:t>
            </w:r>
          </w:p>
        </w:tc>
      </w:tr>
      <w:tr w:rsidR="00B4492B" w:rsidTr="00B404F0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9B63EB">
            <w:pPr>
              <w:pStyle w:val="TableContents"/>
              <w:rPr>
                <w:rFonts w:hint="eastAsia"/>
                <w:i/>
              </w:rPr>
            </w:pPr>
            <w:r>
              <w:t>COLORS</w:t>
            </w:r>
            <w:r w:rsidR="001E6308">
              <w:t>=</w:t>
            </w:r>
            <w:proofErr w:type="spellStart"/>
            <w:r w:rsidR="001E6308" w:rsidRPr="001E6308">
              <w:rPr>
                <w:i/>
              </w:rPr>
              <w:t>arg</w:t>
            </w:r>
            <w:proofErr w:type="spellEnd"/>
          </w:p>
          <w:p w:rsidR="00731EE7" w:rsidRPr="00411F23" w:rsidRDefault="00731EE7" w:rsidP="009B63EB">
            <w:pPr>
              <w:pStyle w:val="TableContents"/>
              <w:rPr>
                <w:rFonts w:hint="eastAsia"/>
                <w:i/>
              </w:rPr>
            </w:pPr>
            <w:r w:rsidRPr="00411F23">
              <w:rPr>
                <w:i/>
              </w:rPr>
              <w:t>(default=“green yellow red”)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323" w:rsidRDefault="001E6308" w:rsidP="001E6308">
            <w:pPr>
              <w:pStyle w:val="TableContents"/>
              <w:rPr>
                <w:rFonts w:hint="eastAsia"/>
              </w:rPr>
            </w:pPr>
            <w:r>
              <w:t xml:space="preserve">Color-code pallet. </w:t>
            </w:r>
            <w:proofErr w:type="spellStart"/>
            <w:r>
              <w:t>Arg</w:t>
            </w:r>
            <w:proofErr w:type="spellEnd"/>
            <w:r>
              <w:t xml:space="preserve"> </w:t>
            </w:r>
            <w:proofErr w:type="spellStart"/>
            <w:r>
              <w:t>mayb</w:t>
            </w:r>
            <w:proofErr w:type="spellEnd"/>
            <w:r>
              <w:t xml:space="preserve"> be either “green yellow red”, or “red yellow green”, or one of the above without yellow.</w:t>
            </w:r>
          </w:p>
        </w:tc>
      </w:tr>
      <w:tr w:rsidR="00474D4B" w:rsidTr="00474D4B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D4B" w:rsidRDefault="00912406" w:rsidP="009B63EB">
            <w:pPr>
              <w:pStyle w:val="TableContents"/>
              <w:rPr>
                <w:rFonts w:hint="eastAsia"/>
                <w:i/>
              </w:rPr>
            </w:pPr>
            <w:r>
              <w:t>SHADES=</w:t>
            </w:r>
            <w:proofErr w:type="spellStart"/>
            <w:r w:rsidRPr="001E6308">
              <w:rPr>
                <w:i/>
              </w:rPr>
              <w:t>arg</w:t>
            </w:r>
            <w:proofErr w:type="spellEnd"/>
          </w:p>
          <w:p w:rsidR="00912406" w:rsidRPr="00912406" w:rsidRDefault="00912406" w:rsidP="009B63EB">
            <w:pPr>
              <w:pStyle w:val="TableContents"/>
              <w:rPr>
                <w:rFonts w:hint="eastAsia"/>
              </w:rPr>
            </w:pP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D4B" w:rsidRDefault="00912406" w:rsidP="00912406">
            <w:pPr>
              <w:pStyle w:val="TableContents"/>
              <w:rPr>
                <w:rFonts w:hint="eastAsia"/>
              </w:rPr>
            </w:pPr>
            <w:r>
              <w:t>Number shades of each color to be used. Default is number of rows divide</w:t>
            </w:r>
            <w:r>
              <w:rPr>
                <w:rFonts w:hint="eastAsia"/>
              </w:rPr>
              <w:t>d</w:t>
            </w:r>
            <w:r w:rsidR="001D109F">
              <w:t xml:space="preserve"> by 12</w:t>
            </w:r>
            <w:r>
              <w:t>.</w:t>
            </w:r>
          </w:p>
        </w:tc>
      </w:tr>
      <w:tr w:rsidR="00474D4B" w:rsidTr="00B404F0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D4B" w:rsidRDefault="00474D4B" w:rsidP="009B63EB">
            <w:pPr>
              <w:pStyle w:val="TableContents"/>
              <w:rPr>
                <w:rFonts w:hint="eastAsia"/>
                <w:i/>
              </w:rPr>
            </w:pPr>
            <w:r>
              <w:t>BYTYPE</w:t>
            </w:r>
            <w:r w:rsidR="00912406">
              <w:t>=</w:t>
            </w:r>
            <w:proofErr w:type="spellStart"/>
            <w:r w:rsidR="00912406" w:rsidRPr="001E6308">
              <w:rPr>
                <w:i/>
              </w:rPr>
              <w:t>arg</w:t>
            </w:r>
            <w:proofErr w:type="spellEnd"/>
          </w:p>
          <w:p w:rsidR="00EA0E34" w:rsidRPr="00411F23" w:rsidRDefault="00747563" w:rsidP="009B63EB">
            <w:pPr>
              <w:pStyle w:val="TableContents"/>
              <w:rPr>
                <w:rFonts w:hint="eastAsia"/>
                <w:i/>
              </w:rPr>
            </w:pPr>
            <w:r w:rsidRPr="00411F23">
              <w:rPr>
                <w:i/>
              </w:rPr>
              <w:t>(default=”all”)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D4B" w:rsidRDefault="00912406" w:rsidP="00912406">
            <w:pPr>
              <w:pStyle w:val="TableContents"/>
              <w:rPr>
                <w:rFonts w:hint="eastAsia"/>
              </w:rPr>
            </w:pPr>
            <w:r>
              <w:t xml:space="preserve">Type of separation of values into separate groups. </w:t>
            </w:r>
            <w:proofErr w:type="spellStart"/>
            <w:r>
              <w:t>Arg</w:t>
            </w:r>
            <w:proofErr w:type="spellEnd"/>
            <w:r>
              <w:t xml:space="preserve"> may be </w:t>
            </w:r>
            <w:r w:rsidR="00572B23">
              <w:t>“</w:t>
            </w:r>
            <w:r>
              <w:t>rows</w:t>
            </w:r>
            <w:r w:rsidR="00572B23">
              <w:t>”</w:t>
            </w:r>
            <w:r>
              <w:t xml:space="preserve"> (values separated by row; each row will have its own color coding), </w:t>
            </w:r>
            <w:r w:rsidR="00572B23">
              <w:t>“</w:t>
            </w:r>
            <w:r>
              <w:t>cols</w:t>
            </w:r>
            <w:r w:rsidR="00572B23">
              <w:t>”</w:t>
            </w:r>
            <w:r>
              <w:t xml:space="preserve"> (values separated by row; each row will have its own color coding), or all (all values together).</w:t>
            </w:r>
          </w:p>
        </w:tc>
      </w:tr>
      <w:tr w:rsidR="00B4492B" w:rsidTr="00B4492B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9B63EB">
            <w:pPr>
              <w:pStyle w:val="TableContents"/>
              <w:rPr>
                <w:rFonts w:hint="eastAsia"/>
                <w:i/>
              </w:rPr>
            </w:pPr>
            <w:r>
              <w:t>ABS</w:t>
            </w:r>
            <w:r w:rsidR="00912406">
              <w:t>=</w:t>
            </w:r>
            <w:proofErr w:type="spellStart"/>
            <w:r w:rsidR="00912406" w:rsidRPr="001E6308">
              <w:rPr>
                <w:i/>
              </w:rPr>
              <w:t>arg</w:t>
            </w:r>
            <w:proofErr w:type="spellEnd"/>
          </w:p>
          <w:p w:rsidR="00EA0E34" w:rsidRPr="00411F23" w:rsidRDefault="00EA0E34" w:rsidP="009B63EB">
            <w:pPr>
              <w:pStyle w:val="TableContents"/>
              <w:rPr>
                <w:rFonts w:hint="eastAsia"/>
                <w:i/>
              </w:rPr>
            </w:pPr>
            <w:r w:rsidRPr="00411F23">
              <w:rPr>
                <w:i/>
              </w:rPr>
              <w:t>(default=”f”)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406" w:rsidRDefault="00912406" w:rsidP="00247AFE">
            <w:pPr>
              <w:pStyle w:val="TableContents"/>
              <w:rPr>
                <w:rFonts w:hint="eastAsia"/>
              </w:rPr>
            </w:pPr>
            <w:r>
              <w:t xml:space="preserve">Indicator whether values should be </w:t>
            </w:r>
            <w:r w:rsidR="00247AFE">
              <w:t>e</w:t>
            </w:r>
            <w:r>
              <w:t>v</w:t>
            </w:r>
            <w:r w:rsidR="00247AFE">
              <w:t>al</w:t>
            </w:r>
            <w:r>
              <w:t>u</w:t>
            </w:r>
            <w:r w:rsidR="00247AFE">
              <w:t>a</w:t>
            </w:r>
            <w:r>
              <w:t xml:space="preserve">ted in their absolute value. </w:t>
            </w:r>
            <w:proofErr w:type="spellStart"/>
            <w:r>
              <w:t>Arg</w:t>
            </w:r>
            <w:proofErr w:type="spellEnd"/>
            <w:r>
              <w:t xml:space="preserve"> may be “t</w:t>
            </w:r>
            <w:proofErr w:type="gramStart"/>
            <w:r>
              <w:t>“ of</w:t>
            </w:r>
            <w:proofErr w:type="gramEnd"/>
            <w:r>
              <w:t xml:space="preserve"> “f “. </w:t>
            </w:r>
          </w:p>
        </w:tc>
      </w:tr>
      <w:tr w:rsidR="00247AFE" w:rsidTr="00247AFE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AFE" w:rsidRDefault="00247AFE" w:rsidP="009B63EB">
            <w:pPr>
              <w:pStyle w:val="TableContents"/>
              <w:rPr>
                <w:rFonts w:hint="eastAsia"/>
              </w:rPr>
            </w:pPr>
            <w:r>
              <w:t>QUANTILES=</w:t>
            </w:r>
            <w:proofErr w:type="spellStart"/>
            <w:r w:rsidRPr="0037139B">
              <w:rPr>
                <w:i/>
              </w:rPr>
              <w:t>arg</w:t>
            </w:r>
            <w:proofErr w:type="spellEnd"/>
          </w:p>
          <w:p w:rsidR="0037139B" w:rsidRPr="00411F23" w:rsidRDefault="0037139B" w:rsidP="009B63EB">
            <w:pPr>
              <w:pStyle w:val="TableContents"/>
              <w:rPr>
                <w:rFonts w:hint="eastAsia"/>
                <w:i/>
              </w:rPr>
            </w:pPr>
            <w:r w:rsidRPr="00411F23">
              <w:rPr>
                <w:i/>
              </w:rPr>
              <w:t>(default=”f”)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AFE" w:rsidRDefault="00247AFE" w:rsidP="0037139B">
            <w:pPr>
              <w:pStyle w:val="TableContents"/>
              <w:rPr>
                <w:rFonts w:hint="eastAsia"/>
              </w:rPr>
            </w:pPr>
            <w:r>
              <w:t xml:space="preserve">Indicator whether </w:t>
            </w:r>
            <w:r w:rsidR="0037139B">
              <w:t xml:space="preserve">color-coding should be performed based on quantiles of </w:t>
            </w:r>
            <w:r>
              <w:t>values</w:t>
            </w:r>
            <w:r w:rsidR="0037139B">
              <w:t xml:space="preserve"> (i.e. ranks) rather than based on simple distance</w:t>
            </w:r>
            <w:r>
              <w:t xml:space="preserve">. </w:t>
            </w:r>
            <w:proofErr w:type="spellStart"/>
            <w:r>
              <w:t>Arg</w:t>
            </w:r>
            <w:proofErr w:type="spellEnd"/>
            <w:r>
              <w:t xml:space="preserve"> may be “t</w:t>
            </w:r>
            <w:proofErr w:type="gramStart"/>
            <w:r>
              <w:t>“ of</w:t>
            </w:r>
            <w:proofErr w:type="gramEnd"/>
            <w:r>
              <w:t xml:space="preserve"> “f “. </w:t>
            </w:r>
          </w:p>
        </w:tc>
      </w:tr>
      <w:tr w:rsidR="00411F23" w:rsidTr="001B6759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F23" w:rsidRDefault="00411F23" w:rsidP="00411F23">
            <w:pPr>
              <w:pStyle w:val="TableContents"/>
              <w:rPr>
                <w:rFonts w:hint="eastAsia"/>
              </w:rPr>
            </w:pPr>
            <w:r>
              <w:t>STATISTICS=</w:t>
            </w:r>
            <w:proofErr w:type="spellStart"/>
            <w:r w:rsidRPr="0037139B">
              <w:rPr>
                <w:i/>
              </w:rPr>
              <w:t>arg</w:t>
            </w:r>
            <w:proofErr w:type="spellEnd"/>
          </w:p>
          <w:p w:rsidR="00411F23" w:rsidRDefault="00411F23" w:rsidP="00411F23">
            <w:pPr>
              <w:pStyle w:val="TableContents"/>
              <w:rPr>
                <w:rFonts w:hint="eastAsia"/>
              </w:rPr>
            </w:pPr>
            <w:r w:rsidRPr="00411F23">
              <w:rPr>
                <w:i/>
              </w:rPr>
              <w:t>(default=”f”)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F23" w:rsidRDefault="00411F23" w:rsidP="0037139B">
            <w:pPr>
              <w:pStyle w:val="TableContents"/>
              <w:rPr>
                <w:rFonts w:hint="eastAsia"/>
              </w:rPr>
            </w:pPr>
            <w:r>
              <w:t xml:space="preserve">List of summary statistics for each column to be included at the bottom of the table. The summary statistics can be ‘mean’ (average of </w:t>
            </w:r>
            <w:proofErr w:type="spellStart"/>
            <w:r>
              <w:t>alle</w:t>
            </w:r>
            <w:proofErr w:type="spellEnd"/>
            <w:r>
              <w:t xml:space="preserve"> values), ‘</w:t>
            </w:r>
            <w:proofErr w:type="spellStart"/>
            <w:r>
              <w:t>stdev</w:t>
            </w:r>
            <w:proofErr w:type="spellEnd"/>
            <w:r>
              <w:t>’ (standard deviation), ‘min’ (minimum), ‘max’ (maximum), and ‘quartiles’ (1</w:t>
            </w:r>
            <w:r w:rsidRPr="00411F23">
              <w:rPr>
                <w:vertAlign w:val="superscript"/>
              </w:rPr>
              <w:t>st</w:t>
            </w:r>
            <w:r>
              <w:t xml:space="preserve"> and 3</w:t>
            </w:r>
            <w:r w:rsidRPr="00411F23">
              <w:rPr>
                <w:vertAlign w:val="superscript"/>
              </w:rPr>
              <w:t>rd</w:t>
            </w:r>
            <w:r>
              <w:t xml:space="preserve"> quartile value).</w:t>
            </w:r>
          </w:p>
          <w:p w:rsidR="00411F23" w:rsidRDefault="00411F23" w:rsidP="00411F23">
            <w:pPr>
              <w:pStyle w:val="TableContents"/>
              <w:rPr>
                <w:rFonts w:hint="eastAsia"/>
              </w:rPr>
            </w:pPr>
            <w:r w:rsidRPr="002C5821">
              <w:rPr>
                <w:b/>
              </w:rPr>
              <w:t>Note</w:t>
            </w:r>
            <w:r>
              <w:t>: This applies only when ‘</w:t>
            </w:r>
            <w:proofErr w:type="spellStart"/>
            <w:r>
              <w:t>bytype</w:t>
            </w:r>
            <w:proofErr w:type="spellEnd"/>
            <w:r>
              <w:t>=cols’.</w:t>
            </w:r>
          </w:p>
        </w:tc>
      </w:tr>
      <w:tr w:rsidR="00247AFE" w:rsidTr="001B6759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AFE" w:rsidRDefault="0095496A" w:rsidP="00411F23">
            <w:pPr>
              <w:pStyle w:val="TableContents"/>
              <w:rPr>
                <w:rFonts w:hint="eastAsia"/>
                <w:i/>
              </w:rPr>
            </w:pPr>
            <w:r>
              <w:t>KEEP_TABLE</w:t>
            </w:r>
            <w:r w:rsidR="003C4139">
              <w:t>=</w:t>
            </w:r>
            <w:proofErr w:type="spellStart"/>
            <w:r w:rsidR="003C4139" w:rsidRPr="006B1242">
              <w:rPr>
                <w:i/>
              </w:rPr>
              <w:t>arg</w:t>
            </w:r>
            <w:proofErr w:type="spellEnd"/>
          </w:p>
          <w:p w:rsidR="006B1242" w:rsidRDefault="006B1242" w:rsidP="00411F23">
            <w:pPr>
              <w:pStyle w:val="TableContents"/>
              <w:rPr>
                <w:rFonts w:hint="eastAsia"/>
              </w:rPr>
            </w:pPr>
            <w:r w:rsidRPr="00411F23">
              <w:rPr>
                <w:i/>
              </w:rPr>
              <w:t>(default=”f”)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AFE" w:rsidRDefault="00247AFE" w:rsidP="0095496A">
            <w:pPr>
              <w:pStyle w:val="TableContents"/>
              <w:rPr>
                <w:rFonts w:hint="eastAsia"/>
              </w:rPr>
            </w:pPr>
            <w:r>
              <w:t xml:space="preserve">Indicator whether </w:t>
            </w:r>
            <w:r w:rsidR="0095496A">
              <w:t>table with category info should be kept</w:t>
            </w:r>
            <w:r>
              <w:t xml:space="preserve">. </w:t>
            </w:r>
            <w:proofErr w:type="spellStart"/>
            <w:r>
              <w:t>Arg</w:t>
            </w:r>
            <w:proofErr w:type="spellEnd"/>
            <w:r>
              <w:t xml:space="preserve"> may be “t</w:t>
            </w:r>
            <w:proofErr w:type="gramStart"/>
            <w:r>
              <w:t>“ of</w:t>
            </w:r>
            <w:proofErr w:type="gramEnd"/>
            <w:r>
              <w:t xml:space="preserve"> “f “. </w:t>
            </w:r>
          </w:p>
          <w:p w:rsidR="0095496A" w:rsidRDefault="0095496A" w:rsidP="0095496A">
            <w:pPr>
              <w:pStyle w:val="TableContents"/>
              <w:rPr>
                <w:rFonts w:hint="eastAsia"/>
              </w:rPr>
            </w:pPr>
            <w:r w:rsidRPr="002C5821">
              <w:rPr>
                <w:b/>
              </w:rPr>
              <w:lastRenderedPageBreak/>
              <w:t>Note</w:t>
            </w:r>
            <w:r>
              <w:t>: The table is named ‘</w:t>
            </w:r>
            <w:proofErr w:type="spellStart"/>
            <w:r>
              <w:t>category_info</w:t>
            </w:r>
            <w:proofErr w:type="spellEnd"/>
            <w:r>
              <w:t>’.</w:t>
            </w:r>
          </w:p>
        </w:tc>
      </w:tr>
    </w:tbl>
    <w:p w:rsidR="00EA06FF" w:rsidRDefault="00EA06FF" w:rsidP="00EA06FF">
      <w:pPr>
        <w:pStyle w:val="Standard"/>
        <w:ind w:left="1418"/>
        <w:rPr>
          <w:rFonts w:hint="eastAsia"/>
          <w:sz w:val="28"/>
          <w:szCs w:val="28"/>
        </w:rPr>
      </w:pPr>
    </w:p>
    <w:p w:rsidR="00EA06FF" w:rsidRDefault="00EA06FF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:rsidR="00EA06FF" w:rsidRDefault="00860E7C" w:rsidP="00EA06FF">
      <w:pPr>
        <w:pStyle w:val="Standard"/>
        <w:ind w:left="709"/>
        <w:rPr>
          <w:rFonts w:hint="eastAsia"/>
        </w:rPr>
      </w:pPr>
      <w:r w:rsidRPr="00860E7C">
        <w:t xml:space="preserve">The </w:t>
      </w:r>
      <w:r w:rsidR="00011136">
        <w:t>command</w:t>
      </w:r>
    </w:p>
    <w:p w:rsidR="00BB1BE4" w:rsidRDefault="00BB1BE4" w:rsidP="00C74470">
      <w:pPr>
        <w:pStyle w:val="Standard"/>
        <w:rPr>
          <w:rFonts w:ascii="Courier New" w:hAnsi="Courier New"/>
        </w:rPr>
      </w:pPr>
    </w:p>
    <w:p w:rsidR="00860E7C" w:rsidRDefault="00C74470" w:rsidP="00860E7C">
      <w:pPr>
        <w:pStyle w:val="Standard"/>
        <w:ind w:left="1418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tb</w:t>
      </w:r>
      <w:r w:rsidR="004343A5">
        <w:rPr>
          <w:rFonts w:ascii="Courier New" w:hAnsi="Courier New"/>
        </w:rPr>
        <w:t>.</w:t>
      </w:r>
      <w:r>
        <w:rPr>
          <w:rFonts w:ascii="Courier New" w:hAnsi="Courier New"/>
        </w:rPr>
        <w:t>colorcode</w:t>
      </w:r>
      <w:proofErr w:type="spellEnd"/>
    </w:p>
    <w:p w:rsidR="00C74470" w:rsidRDefault="00C74470" w:rsidP="00C74470">
      <w:pPr>
        <w:pStyle w:val="NoSpacing"/>
        <w:rPr>
          <w:rFonts w:hint="eastAsia"/>
        </w:rPr>
      </w:pPr>
    </w:p>
    <w:p w:rsidR="00011136" w:rsidRDefault="00C74470" w:rsidP="00C74470">
      <w:pPr>
        <w:pStyle w:val="NoSpacing"/>
        <w:rPr>
          <w:rFonts w:hint="eastAsia"/>
        </w:rPr>
      </w:pPr>
      <w:proofErr w:type="gramStart"/>
      <w:r>
        <w:t>will</w:t>
      </w:r>
      <w:proofErr w:type="gramEnd"/>
      <w:r>
        <w:t xml:space="preserve"> add colors to all cells of the table</w:t>
      </w:r>
      <w:r w:rsidR="00011136">
        <w:t xml:space="preserve"> ‘</w:t>
      </w:r>
      <w:proofErr w:type="spellStart"/>
      <w:r w:rsidR="00011136">
        <w:t>tb</w:t>
      </w:r>
      <w:proofErr w:type="spellEnd"/>
      <w:r w:rsidR="00011136">
        <w:t>’</w:t>
      </w:r>
      <w:r>
        <w:t xml:space="preserve"> based on the values in the cells. Lowest values will be dark green, highest dark red, while value in between will be </w:t>
      </w:r>
      <w:proofErr w:type="gramStart"/>
      <w:r>
        <w:t>go</w:t>
      </w:r>
      <w:proofErr w:type="gramEnd"/>
      <w:r>
        <w:t xml:space="preserve"> from light green, to yellow, to orange to light red.</w:t>
      </w:r>
      <w:r w:rsidR="00AE04BF">
        <w:t xml:space="preserve"> Cells that do not have numerical values will be color coded.</w:t>
      </w:r>
    </w:p>
    <w:p w:rsidR="009F0B95" w:rsidRDefault="009F0B95" w:rsidP="00C74470">
      <w:pPr>
        <w:pStyle w:val="NoSpacing"/>
        <w:rPr>
          <w:rFonts w:hint="eastAsia"/>
        </w:rPr>
      </w:pPr>
    </w:p>
    <w:p w:rsidR="009F0B95" w:rsidRDefault="009F0B95" w:rsidP="00C74470">
      <w:pPr>
        <w:pStyle w:val="NoSpacing"/>
        <w:rPr>
          <w:rFonts w:hint="eastAsia"/>
        </w:rPr>
      </w:pPr>
      <w:r>
        <w:t xml:space="preserve">The command </w:t>
      </w:r>
    </w:p>
    <w:p w:rsidR="00011136" w:rsidRDefault="00011136" w:rsidP="00C74470">
      <w:pPr>
        <w:pStyle w:val="NoSpacing"/>
        <w:rPr>
          <w:rFonts w:hint="eastAsia"/>
        </w:rPr>
      </w:pPr>
    </w:p>
    <w:p w:rsidR="009F0B95" w:rsidRDefault="009F0B95" w:rsidP="009F0B95">
      <w:pPr>
        <w:pStyle w:val="Standard"/>
        <w:ind w:left="1418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tb.colorcode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rows=”2-6”,”cols=3 5”,colors=”red yellow </w:t>
      </w:r>
      <w:proofErr w:type="spellStart"/>
      <w:r>
        <w:rPr>
          <w:rFonts w:ascii="Courier New" w:hAnsi="Courier New"/>
        </w:rPr>
        <w:t>green”,shades</w:t>
      </w:r>
      <w:proofErr w:type="spellEnd"/>
      <w:r>
        <w:rPr>
          <w:rFonts w:ascii="Courier New" w:hAnsi="Courier New"/>
        </w:rPr>
        <w:t>=”</w:t>
      </w:r>
      <w:r w:rsidR="007032FC">
        <w:rPr>
          <w:rFonts w:ascii="Courier New" w:hAnsi="Courier New"/>
        </w:rPr>
        <w:t>4</w:t>
      </w:r>
      <w:r>
        <w:rPr>
          <w:rFonts w:ascii="Courier New" w:hAnsi="Courier New"/>
        </w:rPr>
        <w:t>”</w:t>
      </w:r>
      <w:r w:rsidR="007032FC">
        <w:rPr>
          <w:rFonts w:ascii="Courier New" w:hAnsi="Courier New"/>
        </w:rPr>
        <w:t>,quantiles=”t”,</w:t>
      </w:r>
      <w:proofErr w:type="spellStart"/>
      <w:r w:rsidR="007032FC">
        <w:rPr>
          <w:rFonts w:ascii="Courier New" w:hAnsi="Courier New"/>
        </w:rPr>
        <w:t>keep_table</w:t>
      </w:r>
      <w:proofErr w:type="spellEnd"/>
      <w:r w:rsidR="007032FC">
        <w:rPr>
          <w:rFonts w:ascii="Courier New" w:hAnsi="Courier New"/>
        </w:rPr>
        <w:t xml:space="preserve">=”t”) </w:t>
      </w:r>
    </w:p>
    <w:p w:rsidR="009F0B95" w:rsidRDefault="009F0B95" w:rsidP="009F0B95">
      <w:pPr>
        <w:pStyle w:val="NoSpacing"/>
        <w:rPr>
          <w:rFonts w:hint="eastAsia"/>
        </w:rPr>
      </w:pPr>
    </w:p>
    <w:p w:rsidR="009F0B95" w:rsidRDefault="009F0B95" w:rsidP="009F0B95">
      <w:pPr>
        <w:pStyle w:val="NoSpacing"/>
        <w:rPr>
          <w:rFonts w:hint="eastAsia"/>
        </w:rPr>
      </w:pPr>
      <w:proofErr w:type="gramStart"/>
      <w:r>
        <w:t>will</w:t>
      </w:r>
      <w:proofErr w:type="gramEnd"/>
      <w:r>
        <w:t xml:space="preserve"> add colors to all cells of the table ‘</w:t>
      </w:r>
      <w:proofErr w:type="spellStart"/>
      <w:r>
        <w:t>tb</w:t>
      </w:r>
      <w:proofErr w:type="spellEnd"/>
      <w:r>
        <w:t xml:space="preserve">’ based on the </w:t>
      </w:r>
      <w:r w:rsidR="007032FC">
        <w:t xml:space="preserve">quantiles/ranks of </w:t>
      </w:r>
      <w:r>
        <w:t xml:space="preserve">values in the cells. Lowest values will be dark green, highest dark red, while value in between will be </w:t>
      </w:r>
      <w:proofErr w:type="gramStart"/>
      <w:r>
        <w:t>go</w:t>
      </w:r>
      <w:proofErr w:type="gramEnd"/>
      <w:r>
        <w:t xml:space="preserve"> from light green, to yellow, to orange to light red. </w:t>
      </w:r>
      <w:r w:rsidR="007032FC">
        <w:t>The workfile will contain table ‘</w:t>
      </w:r>
      <w:proofErr w:type="spellStart"/>
      <w:r w:rsidR="007032FC">
        <w:t>tb_category_info</w:t>
      </w:r>
      <w:proofErr w:type="spellEnd"/>
      <w:r w:rsidR="007032FC">
        <w:t>’ which will indicate the category colors and borders.</w:t>
      </w:r>
    </w:p>
    <w:p w:rsidR="00860E7C" w:rsidRDefault="00860E7C" w:rsidP="00860E7C">
      <w:pPr>
        <w:pStyle w:val="Standard"/>
        <w:ind w:left="1418"/>
        <w:rPr>
          <w:rFonts w:ascii="Courier New" w:hAnsi="Courier New"/>
        </w:rPr>
      </w:pPr>
    </w:p>
    <w:p w:rsidR="00EA06FF" w:rsidRDefault="00EA06FF" w:rsidP="00EA06FF">
      <w:pPr>
        <w:pStyle w:val="Standard"/>
        <w:rPr>
          <w:rFonts w:hint="eastAsia"/>
        </w:rPr>
      </w:pPr>
    </w:p>
    <w:p w:rsidR="00EA06FF" w:rsidRDefault="00EA06FF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 Information</w:t>
      </w:r>
    </w:p>
    <w:p w:rsidR="00087B4C" w:rsidRPr="00087B4C" w:rsidRDefault="00087B4C" w:rsidP="00087B4C">
      <w:pPr>
        <w:ind w:left="709"/>
        <w:rPr>
          <w:rFonts w:hint="eastAsia"/>
        </w:rPr>
      </w:pPr>
      <w:r w:rsidRPr="00087B4C">
        <w:t xml:space="preserve">Please send any questions, comments, criticisms, or complaints </w:t>
      </w:r>
      <w:r>
        <w:t xml:space="preserve">to the dedicated Eviews </w:t>
      </w:r>
      <w:proofErr w:type="gramStart"/>
      <w:r>
        <w:t>forum</w:t>
      </w:r>
      <w:r w:rsidRPr="00087B4C">
        <w:t xml:space="preserve"> </w:t>
      </w:r>
      <w:r>
        <w:t xml:space="preserve"> or</w:t>
      </w:r>
      <w:proofErr w:type="gramEnd"/>
      <w:r>
        <w:t xml:space="preserve"> privately to </w:t>
      </w:r>
      <w:hyperlink r:id="rId5" w:history="1">
        <w:r w:rsidRPr="00AC2797">
          <w:rPr>
            <w:rStyle w:val="Hyperlink"/>
          </w:rPr>
          <w:t>kamil.kovar@cerge-ei.cz</w:t>
        </w:r>
      </w:hyperlink>
      <w:r>
        <w:t xml:space="preserve"> or</w:t>
      </w:r>
      <w:r w:rsidRPr="00087B4C">
        <w:t>. If you'd like to contribute to the project, please feel free to send a pull request to</w:t>
      </w:r>
      <w:r w:rsidR="00652526">
        <w:t xml:space="preserve"> </w:t>
      </w:r>
      <w:hyperlink r:id="rId6" w:history="1">
        <w:r w:rsidR="00652526" w:rsidRPr="00652526">
          <w:rPr>
            <w:rStyle w:val="Hyperlink"/>
            <w:rFonts w:hint="eastAsia"/>
          </w:rPr>
          <w:t>https://github.com/CrisisStudent/ColorCode</w:t>
        </w:r>
      </w:hyperlink>
      <w:r w:rsidRPr="00087B4C">
        <w:t>.</w:t>
      </w:r>
    </w:p>
    <w:p w:rsidR="00EA06FF" w:rsidRDefault="00EA06FF" w:rsidP="00EA06FF">
      <w:pPr>
        <w:pStyle w:val="Standard"/>
        <w:ind w:left="709"/>
        <w:rPr>
          <w:rFonts w:hint="eastAsia"/>
          <w:b/>
          <w:bCs/>
        </w:rPr>
      </w:pPr>
    </w:p>
    <w:p w:rsidR="00EA06FF" w:rsidRDefault="00EA06FF" w:rsidP="00EA06FF">
      <w:pPr>
        <w:pStyle w:val="Standard"/>
        <w:ind w:left="709"/>
        <w:rPr>
          <w:rFonts w:hint="eastAsia"/>
          <w:b/>
          <w:bCs/>
        </w:rPr>
      </w:pPr>
    </w:p>
    <w:p w:rsidR="00EA06FF" w:rsidRDefault="00696153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  <w:r w:rsidRPr="00696153">
        <w:rPr>
          <w:b/>
          <w:bCs/>
          <w:sz w:val="28"/>
          <w:szCs w:val="28"/>
        </w:rPr>
        <w:t>Additional notes</w:t>
      </w:r>
    </w:p>
    <w:p w:rsidR="00696153" w:rsidRDefault="00572B23" w:rsidP="00572B23">
      <w:pPr>
        <w:pStyle w:val="NoSpacing"/>
        <w:rPr>
          <w:rFonts w:hint="eastAsia"/>
        </w:rPr>
      </w:pPr>
      <w:r>
        <w:t>For large tables it is better to execute this procedure in command line, since having the table open causes the color-coding to be slow in Eviews.</w:t>
      </w:r>
    </w:p>
    <w:p w:rsidR="002848F1" w:rsidRDefault="002848F1" w:rsidP="00572B23">
      <w:pPr>
        <w:pStyle w:val="NoSpacing"/>
        <w:rPr>
          <w:rFonts w:hint="eastAsia"/>
        </w:rPr>
      </w:pPr>
    </w:p>
    <w:p w:rsidR="00E025C1" w:rsidRDefault="00E025C1" w:rsidP="00572B23">
      <w:pPr>
        <w:pStyle w:val="NoSpacing"/>
        <w:rPr>
          <w:rFonts w:hint="eastAsia"/>
        </w:rPr>
      </w:pPr>
      <w:r>
        <w:t xml:space="preserve">The add-in is separated into </w:t>
      </w:r>
      <w:proofErr w:type="spellStart"/>
      <w:r>
        <w:t>settings&amp;execution</w:t>
      </w:r>
      <w:proofErr w:type="spellEnd"/>
      <w:r>
        <w:t xml:space="preserve"> program file and subroutines program file. This allows developers to repurpose the subroutine(s) outside of the add-in.   </w:t>
      </w:r>
    </w:p>
    <w:p w:rsidR="00572B23" w:rsidRDefault="00572B23" w:rsidP="00572B23">
      <w:pPr>
        <w:pStyle w:val="NoSpacing"/>
        <w:rPr>
          <w:rFonts w:hint="eastAsia"/>
        </w:rPr>
      </w:pPr>
    </w:p>
    <w:p w:rsidR="00696153" w:rsidRDefault="00696153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</w:p>
    <w:sectPr w:rsidR="0069615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6FF"/>
    <w:rsid w:val="000034A3"/>
    <w:rsid w:val="000101D8"/>
    <w:rsid w:val="00011136"/>
    <w:rsid w:val="00012DE8"/>
    <w:rsid w:val="000208B9"/>
    <w:rsid w:val="0002315A"/>
    <w:rsid w:val="00041C03"/>
    <w:rsid w:val="00045096"/>
    <w:rsid w:val="00087B4C"/>
    <w:rsid w:val="00096368"/>
    <w:rsid w:val="000A6911"/>
    <w:rsid w:val="000C24E2"/>
    <w:rsid w:val="000D2CB7"/>
    <w:rsid w:val="000E3333"/>
    <w:rsid w:val="00104E06"/>
    <w:rsid w:val="0013519F"/>
    <w:rsid w:val="00183BBD"/>
    <w:rsid w:val="001972E5"/>
    <w:rsid w:val="001B6759"/>
    <w:rsid w:val="001D109F"/>
    <w:rsid w:val="001D6DEC"/>
    <w:rsid w:val="001E6308"/>
    <w:rsid w:val="001E7B10"/>
    <w:rsid w:val="0020415E"/>
    <w:rsid w:val="0022596D"/>
    <w:rsid w:val="002350A3"/>
    <w:rsid w:val="0023632F"/>
    <w:rsid w:val="00247AFE"/>
    <w:rsid w:val="00280500"/>
    <w:rsid w:val="002836F1"/>
    <w:rsid w:val="002848F1"/>
    <w:rsid w:val="002A539E"/>
    <w:rsid w:val="002C5821"/>
    <w:rsid w:val="002C5CD7"/>
    <w:rsid w:val="002E1300"/>
    <w:rsid w:val="00310EE9"/>
    <w:rsid w:val="0031293D"/>
    <w:rsid w:val="0031501A"/>
    <w:rsid w:val="00333EB6"/>
    <w:rsid w:val="0037139B"/>
    <w:rsid w:val="003777AE"/>
    <w:rsid w:val="003944D6"/>
    <w:rsid w:val="003A6552"/>
    <w:rsid w:val="003A6ABD"/>
    <w:rsid w:val="003C4139"/>
    <w:rsid w:val="003C7CBF"/>
    <w:rsid w:val="003D4193"/>
    <w:rsid w:val="003D5A8C"/>
    <w:rsid w:val="003E48A4"/>
    <w:rsid w:val="003F312A"/>
    <w:rsid w:val="003F7C96"/>
    <w:rsid w:val="00400CA6"/>
    <w:rsid w:val="00411358"/>
    <w:rsid w:val="00411F23"/>
    <w:rsid w:val="004343A5"/>
    <w:rsid w:val="00457323"/>
    <w:rsid w:val="00473552"/>
    <w:rsid w:val="00474D4B"/>
    <w:rsid w:val="004A1C44"/>
    <w:rsid w:val="004C6B8F"/>
    <w:rsid w:val="004D2F29"/>
    <w:rsid w:val="004E7DC8"/>
    <w:rsid w:val="0055009C"/>
    <w:rsid w:val="00550DB5"/>
    <w:rsid w:val="00570E37"/>
    <w:rsid w:val="00572B23"/>
    <w:rsid w:val="00592A88"/>
    <w:rsid w:val="005F106B"/>
    <w:rsid w:val="005F515F"/>
    <w:rsid w:val="005F6D27"/>
    <w:rsid w:val="0061669E"/>
    <w:rsid w:val="00616FB4"/>
    <w:rsid w:val="00652526"/>
    <w:rsid w:val="006546AC"/>
    <w:rsid w:val="00660162"/>
    <w:rsid w:val="00670420"/>
    <w:rsid w:val="006766FE"/>
    <w:rsid w:val="006809D0"/>
    <w:rsid w:val="00696153"/>
    <w:rsid w:val="006A1E84"/>
    <w:rsid w:val="006B1242"/>
    <w:rsid w:val="006D60C0"/>
    <w:rsid w:val="00700BF9"/>
    <w:rsid w:val="007032FC"/>
    <w:rsid w:val="007307B8"/>
    <w:rsid w:val="00731EE7"/>
    <w:rsid w:val="00734EAD"/>
    <w:rsid w:val="00737CF8"/>
    <w:rsid w:val="00744A45"/>
    <w:rsid w:val="0074712B"/>
    <w:rsid w:val="00747563"/>
    <w:rsid w:val="007611EF"/>
    <w:rsid w:val="00770B71"/>
    <w:rsid w:val="00781528"/>
    <w:rsid w:val="0079048D"/>
    <w:rsid w:val="007A2AD0"/>
    <w:rsid w:val="007A50DF"/>
    <w:rsid w:val="007A5D1C"/>
    <w:rsid w:val="007B1A03"/>
    <w:rsid w:val="007B27BD"/>
    <w:rsid w:val="007D5FD1"/>
    <w:rsid w:val="007E70F8"/>
    <w:rsid w:val="007F2B40"/>
    <w:rsid w:val="007F4755"/>
    <w:rsid w:val="00802606"/>
    <w:rsid w:val="00821868"/>
    <w:rsid w:val="00850907"/>
    <w:rsid w:val="00860E7C"/>
    <w:rsid w:val="00863F90"/>
    <w:rsid w:val="00876C78"/>
    <w:rsid w:val="008A2703"/>
    <w:rsid w:val="008C040E"/>
    <w:rsid w:val="008F0918"/>
    <w:rsid w:val="008F23FD"/>
    <w:rsid w:val="00900C03"/>
    <w:rsid w:val="00912406"/>
    <w:rsid w:val="0091709C"/>
    <w:rsid w:val="009301BF"/>
    <w:rsid w:val="0095496A"/>
    <w:rsid w:val="009A02A9"/>
    <w:rsid w:val="009C265F"/>
    <w:rsid w:val="009F0092"/>
    <w:rsid w:val="009F0B95"/>
    <w:rsid w:val="00A00163"/>
    <w:rsid w:val="00A00E9A"/>
    <w:rsid w:val="00A03FF0"/>
    <w:rsid w:val="00A11DFE"/>
    <w:rsid w:val="00A15061"/>
    <w:rsid w:val="00A17DFD"/>
    <w:rsid w:val="00A44D66"/>
    <w:rsid w:val="00A63038"/>
    <w:rsid w:val="00A74FF1"/>
    <w:rsid w:val="00A941F1"/>
    <w:rsid w:val="00A960EB"/>
    <w:rsid w:val="00AA63F1"/>
    <w:rsid w:val="00AC0309"/>
    <w:rsid w:val="00AC43E2"/>
    <w:rsid w:val="00AC5D0B"/>
    <w:rsid w:val="00AD7F22"/>
    <w:rsid w:val="00AE04BF"/>
    <w:rsid w:val="00AF7A51"/>
    <w:rsid w:val="00B00BE3"/>
    <w:rsid w:val="00B00D5B"/>
    <w:rsid w:val="00B275A6"/>
    <w:rsid w:val="00B404F0"/>
    <w:rsid w:val="00B440F1"/>
    <w:rsid w:val="00B4492B"/>
    <w:rsid w:val="00B6226B"/>
    <w:rsid w:val="00B74A0C"/>
    <w:rsid w:val="00B877F7"/>
    <w:rsid w:val="00BB1BE4"/>
    <w:rsid w:val="00BD3AA4"/>
    <w:rsid w:val="00BF577B"/>
    <w:rsid w:val="00C02B6E"/>
    <w:rsid w:val="00C12D46"/>
    <w:rsid w:val="00C25AAE"/>
    <w:rsid w:val="00C26439"/>
    <w:rsid w:val="00C64B1F"/>
    <w:rsid w:val="00C67236"/>
    <w:rsid w:val="00C74470"/>
    <w:rsid w:val="00C75014"/>
    <w:rsid w:val="00CE0F0D"/>
    <w:rsid w:val="00CE2B9C"/>
    <w:rsid w:val="00D16B43"/>
    <w:rsid w:val="00D1726B"/>
    <w:rsid w:val="00D2339A"/>
    <w:rsid w:val="00D80231"/>
    <w:rsid w:val="00D81A36"/>
    <w:rsid w:val="00D86DA6"/>
    <w:rsid w:val="00D92DF9"/>
    <w:rsid w:val="00DB4947"/>
    <w:rsid w:val="00DB506F"/>
    <w:rsid w:val="00DE0963"/>
    <w:rsid w:val="00E025C1"/>
    <w:rsid w:val="00E15F63"/>
    <w:rsid w:val="00E308E1"/>
    <w:rsid w:val="00E41BD7"/>
    <w:rsid w:val="00E523A5"/>
    <w:rsid w:val="00E668E5"/>
    <w:rsid w:val="00E75A00"/>
    <w:rsid w:val="00E86E12"/>
    <w:rsid w:val="00E91BAE"/>
    <w:rsid w:val="00EA06FF"/>
    <w:rsid w:val="00EA0E34"/>
    <w:rsid w:val="00EA7285"/>
    <w:rsid w:val="00EA7C22"/>
    <w:rsid w:val="00ED1F22"/>
    <w:rsid w:val="00F14C55"/>
    <w:rsid w:val="00F16F60"/>
    <w:rsid w:val="00F44C11"/>
    <w:rsid w:val="00F469EF"/>
    <w:rsid w:val="00F63B5F"/>
    <w:rsid w:val="00F64630"/>
    <w:rsid w:val="00F9288D"/>
    <w:rsid w:val="00FC1AC1"/>
    <w:rsid w:val="00FC22F5"/>
    <w:rsid w:val="00FC63D3"/>
    <w:rsid w:val="00FD6148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06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A06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A06FF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6F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FF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NoSpacing">
    <w:name w:val="No Spacing"/>
    <w:basedOn w:val="Standard"/>
    <w:uiPriority w:val="1"/>
    <w:qFormat/>
    <w:rsid w:val="00310EE9"/>
    <w:pPr>
      <w:ind w:left="709"/>
      <w:jc w:val="both"/>
    </w:pPr>
  </w:style>
  <w:style w:type="character" w:styleId="Hyperlink">
    <w:name w:val="Hyperlink"/>
    <w:basedOn w:val="DefaultParagraphFont"/>
    <w:uiPriority w:val="99"/>
    <w:unhideWhenUsed/>
    <w:rsid w:val="00087B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06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A06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A06FF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6F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FF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NoSpacing">
    <w:name w:val="No Spacing"/>
    <w:basedOn w:val="Standard"/>
    <w:uiPriority w:val="1"/>
    <w:qFormat/>
    <w:rsid w:val="00310EE9"/>
    <w:pPr>
      <w:ind w:left="709"/>
      <w:jc w:val="both"/>
    </w:pPr>
  </w:style>
  <w:style w:type="character" w:styleId="Hyperlink">
    <w:name w:val="Hyperlink"/>
    <w:basedOn w:val="DefaultParagraphFont"/>
    <w:uiPriority w:val="99"/>
    <w:unhideWhenUsed/>
    <w:rsid w:val="00087B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risisStudent/ColorCode" TargetMode="External"/><Relationship Id="rId5" Type="http://schemas.openxmlformats.org/officeDocument/2006/relationships/hyperlink" Target="mailto:kamil.kovar@cerge-ei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10715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Kovář</dc:creator>
  <cp:lastModifiedBy>Kamil Kovář</cp:lastModifiedBy>
  <cp:revision>146</cp:revision>
  <cp:lastPrinted>2021-04-03T15:11:00Z</cp:lastPrinted>
  <dcterms:created xsi:type="dcterms:W3CDTF">2020-10-22T09:03:00Z</dcterms:created>
  <dcterms:modified xsi:type="dcterms:W3CDTF">2021-04-03T16:12:00Z</dcterms:modified>
</cp:coreProperties>
</file>