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EA06FF" w:rsidTr="00EC3290">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A06FF" w:rsidRDefault="00A20AE5" w:rsidP="00A20AE5">
            <w:pPr>
              <w:pStyle w:val="TableContents"/>
              <w:ind w:left="2160" w:hanging="2160"/>
              <w:rPr>
                <w:rFonts w:hint="eastAsia"/>
                <w:sz w:val="32"/>
                <w:szCs w:val="32"/>
              </w:rPr>
            </w:pPr>
            <w:proofErr w:type="spellStart"/>
            <w:r>
              <w:rPr>
                <w:sz w:val="32"/>
                <w:szCs w:val="32"/>
              </w:rPr>
              <w:t>F</w:t>
            </w:r>
            <w:r w:rsidR="00D92982">
              <w:rPr>
                <w:sz w:val="32"/>
                <w:szCs w:val="32"/>
              </w:rPr>
              <w:t>cast</w:t>
            </w:r>
            <w:r>
              <w:rPr>
                <w:sz w:val="32"/>
                <w:szCs w:val="32"/>
              </w:rPr>
              <w:t>D</w:t>
            </w:r>
            <w:r w:rsidR="00D92982">
              <w:rPr>
                <w:sz w:val="32"/>
                <w:szCs w:val="32"/>
              </w:rPr>
              <w:t>ecomp</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EA06FF" w:rsidRDefault="00D92982" w:rsidP="00B00D5B">
            <w:pPr>
              <w:pStyle w:val="TableContents"/>
              <w:rPr>
                <w:rFonts w:hint="eastAsia"/>
              </w:rPr>
            </w:pPr>
            <w:r>
              <w:t>equation</w:t>
            </w:r>
            <w:r w:rsidR="004A1C44">
              <w:t xml:space="preserve"> </w:t>
            </w:r>
            <w:r w:rsidR="0013519F">
              <w:t>Proc</w:t>
            </w:r>
          </w:p>
        </w:tc>
      </w:tr>
    </w:tbl>
    <w:p w:rsidR="00EA06FF" w:rsidRDefault="00EA06FF" w:rsidP="00D1726B">
      <w:pPr>
        <w:pStyle w:val="Standard"/>
        <w:ind w:firstLine="720"/>
        <w:rPr>
          <w:rFonts w:hint="eastAsia"/>
        </w:rPr>
      </w:pPr>
    </w:p>
    <w:p w:rsidR="00EA06FF" w:rsidRDefault="00871093" w:rsidP="00EA06FF">
      <w:pPr>
        <w:pStyle w:val="Standard"/>
        <w:ind w:left="709"/>
        <w:rPr>
          <w:rFonts w:hint="eastAsia"/>
          <w:b/>
          <w:bCs/>
        </w:rPr>
      </w:pPr>
      <w:r>
        <w:rPr>
          <w:b/>
          <w:bCs/>
        </w:rPr>
        <w:t>Decompose forecast into individual forecast drivers</w:t>
      </w:r>
      <w:r w:rsidR="00EA06FF">
        <w:rPr>
          <w:b/>
          <w:bCs/>
        </w:rPr>
        <w:t>.</w:t>
      </w:r>
    </w:p>
    <w:p w:rsidR="00EA06FF" w:rsidRPr="00D86DA6" w:rsidRDefault="00376DE1" w:rsidP="00310EE9">
      <w:pPr>
        <w:pStyle w:val="NoSpacing"/>
        <w:rPr>
          <w:rFonts w:hint="eastAsia"/>
        </w:rPr>
      </w:pPr>
      <w:proofErr w:type="spellStart"/>
      <w:proofErr w:type="gramStart"/>
      <w:r>
        <w:rPr>
          <w:rFonts w:ascii="Courier New" w:hAnsi="Courier New"/>
          <w:sz w:val="22"/>
          <w:szCs w:val="22"/>
        </w:rPr>
        <w:t>fcastdecomp</w:t>
      </w:r>
      <w:proofErr w:type="spellEnd"/>
      <w:proofErr w:type="gramEnd"/>
      <w:r w:rsidR="00670420">
        <w:rPr>
          <w:rFonts w:ascii="Courier New" w:hAnsi="Courier New"/>
          <w:sz w:val="22"/>
          <w:szCs w:val="22"/>
        </w:rPr>
        <w:t xml:space="preserve"> </w:t>
      </w:r>
      <w:r>
        <w:t>creates graph that decomposes forecast for left-hand side variable info individual drivers, i.e. right-hand side variables multiplie</w:t>
      </w:r>
      <w:r>
        <w:rPr>
          <w:rFonts w:hint="eastAsia"/>
        </w:rPr>
        <w:t>d</w:t>
      </w:r>
      <w:r w:rsidR="00E57E6D">
        <w:t xml:space="preserve"> by coefficient. If two scenarios are specified then graph will display difference in forecast drivers between first and second scenario.</w:t>
      </w:r>
    </w:p>
    <w:p w:rsidR="00EA06FF" w:rsidRDefault="00EA06FF" w:rsidP="00EA06FF">
      <w:pPr>
        <w:pStyle w:val="Standard"/>
        <w:ind w:left="709"/>
        <w:rPr>
          <w:rFonts w:hint="eastAsia"/>
        </w:rPr>
      </w:pPr>
    </w:p>
    <w:p w:rsidR="00EA06FF" w:rsidRDefault="00EA06FF" w:rsidP="00EA06FF">
      <w:pPr>
        <w:pStyle w:val="Standard"/>
        <w:ind w:left="709"/>
        <w:rPr>
          <w:rFonts w:hint="eastAsia"/>
          <w:b/>
          <w:bCs/>
          <w:sz w:val="28"/>
          <w:szCs w:val="28"/>
        </w:rPr>
      </w:pPr>
      <w:r>
        <w:rPr>
          <w:b/>
          <w:bCs/>
          <w:sz w:val="28"/>
          <w:szCs w:val="28"/>
        </w:rPr>
        <w:t>Syntax</w:t>
      </w:r>
    </w:p>
    <w:p w:rsidR="00EA06FF" w:rsidRPr="00670420" w:rsidRDefault="00670420" w:rsidP="00670420">
      <w:pPr>
        <w:pStyle w:val="Standard"/>
        <w:ind w:left="1418"/>
        <w:rPr>
          <w:rFonts w:hint="eastAsia"/>
        </w:rPr>
      </w:pPr>
      <w:r w:rsidRPr="00670420">
        <w:t>{%equation}</w:t>
      </w:r>
      <w:r w:rsidR="004343A5">
        <w:t>.</w:t>
      </w:r>
      <w:proofErr w:type="spellStart"/>
      <w:proofErr w:type="gramStart"/>
      <w:r w:rsidR="008F4A98">
        <w:t>fcastdecomp</w:t>
      </w:r>
      <w:proofErr w:type="spellEnd"/>
      <w:r w:rsidRPr="00670420">
        <w:t>(</w:t>
      </w:r>
      <w:proofErr w:type="gramEnd"/>
      <w:r w:rsidRPr="00670420">
        <w:t>options)</w:t>
      </w:r>
    </w:p>
    <w:p w:rsidR="00EA06FF" w:rsidRDefault="00EA06FF" w:rsidP="00EA06FF">
      <w:pPr>
        <w:pStyle w:val="Standard"/>
        <w:ind w:left="1418"/>
        <w:rPr>
          <w:rFonts w:hint="eastAsia"/>
        </w:rPr>
      </w:pPr>
    </w:p>
    <w:p w:rsidR="00EA06FF" w:rsidRDefault="00EA06FF" w:rsidP="00EA06FF">
      <w:pPr>
        <w:pStyle w:val="Standard"/>
        <w:ind w:left="709"/>
        <w:rPr>
          <w:rFonts w:hint="eastAsia"/>
          <w:b/>
          <w:bCs/>
          <w:sz w:val="28"/>
          <w:szCs w:val="28"/>
        </w:rPr>
      </w:pPr>
      <w:r>
        <w:rPr>
          <w:b/>
          <w:bCs/>
          <w:sz w:val="28"/>
          <w:szCs w:val="28"/>
        </w:rPr>
        <w:t>Options</w:t>
      </w:r>
    </w:p>
    <w:p w:rsidR="00EA06FF" w:rsidRDefault="00EA06FF" w:rsidP="00EA06FF">
      <w:pPr>
        <w:pStyle w:val="Standard"/>
        <w:ind w:left="709"/>
        <w:rPr>
          <w:rFonts w:hint="eastAsia"/>
          <w:b/>
          <w:bCs/>
          <w:sz w:val="28"/>
          <w:szCs w:val="28"/>
        </w:rPr>
      </w:pPr>
    </w:p>
    <w:p w:rsidR="006D60C0" w:rsidRDefault="006D60C0" w:rsidP="00EA06FF">
      <w:pPr>
        <w:pStyle w:val="Standard"/>
        <w:ind w:left="709"/>
        <w:rPr>
          <w:rFonts w:hint="eastAsia"/>
          <w:b/>
          <w:bCs/>
        </w:rPr>
      </w:pPr>
    </w:p>
    <w:tbl>
      <w:tblPr>
        <w:tblW w:w="8550" w:type="dxa"/>
        <w:tblInd w:w="1386" w:type="dxa"/>
        <w:tblLayout w:type="fixed"/>
        <w:tblCellMar>
          <w:left w:w="10" w:type="dxa"/>
          <w:right w:w="10" w:type="dxa"/>
        </w:tblCellMar>
        <w:tblLook w:val="0000" w:firstRow="0" w:lastRow="0" w:firstColumn="0" w:lastColumn="0" w:noHBand="0" w:noVBand="0"/>
      </w:tblPr>
      <w:tblGrid>
        <w:gridCol w:w="3600"/>
        <w:gridCol w:w="4950"/>
      </w:tblGrid>
      <w:tr w:rsidR="001E6D22" w:rsidTr="00B404F0">
        <w:tc>
          <w:tcPr>
            <w:tcW w:w="3600"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1E6D22" w:rsidRDefault="00773936" w:rsidP="00CE60EF">
            <w:pPr>
              <w:pStyle w:val="TableContents"/>
              <w:rPr>
                <w:rFonts w:hint="eastAsia"/>
              </w:rPr>
            </w:pPr>
            <w:r>
              <w:t>SCENARIOS</w:t>
            </w:r>
            <w:r w:rsidR="001E6D22">
              <w:t>=</w:t>
            </w:r>
            <w:proofErr w:type="spellStart"/>
            <w:r w:rsidR="001E6D22" w:rsidRPr="000B3DD6">
              <w:rPr>
                <w:i/>
              </w:rPr>
              <w:t>arg</w:t>
            </w:r>
            <w:proofErr w:type="spellEnd"/>
            <w:r w:rsidR="001E6D22" w:rsidRPr="000B3DD6">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1E6D22" w:rsidRDefault="001E6D22" w:rsidP="00CE60EF">
            <w:pPr>
              <w:pStyle w:val="TableContents"/>
              <w:rPr>
                <w:rFonts w:hint="eastAsia"/>
              </w:rPr>
            </w:pPr>
            <w:r>
              <w:t>Scenario alias or space separated list of two scenario aliases. If two aliases are specified then graph will display forecast drivers of first scenario minus forecast drivers of second scenario.</w:t>
            </w:r>
          </w:p>
          <w:p w:rsidR="001E6D22" w:rsidRDefault="001E6D22" w:rsidP="00CE60EF">
            <w:pPr>
              <w:pStyle w:val="TableContents"/>
              <w:rPr>
                <w:rFonts w:hint="eastAsia"/>
              </w:rPr>
            </w:pPr>
            <w:r w:rsidRPr="000B3DD6">
              <w:rPr>
                <w:b/>
              </w:rPr>
              <w:t>Note</w:t>
            </w:r>
            <w:r>
              <w:t>: If no alias is entered then forecast decomposition will use the actual (historical) series.</w:t>
            </w:r>
          </w:p>
          <w:p w:rsidR="001E6D22" w:rsidRDefault="001E6D22" w:rsidP="00CE60EF">
            <w:pPr>
              <w:pStyle w:val="TableContents"/>
              <w:rPr>
                <w:rFonts w:hint="eastAsia"/>
              </w:rPr>
            </w:pPr>
            <w:r w:rsidRPr="00D05328">
              <w:rPr>
                <w:b/>
              </w:rPr>
              <w:t>Note</w:t>
            </w:r>
            <w:r>
              <w:t>: The program checks existence of the series with alias for each driver. If any of the underlying series with alias does not exist then it will use the series without alias.</w:t>
            </w:r>
          </w:p>
          <w:p w:rsidR="001E6D22" w:rsidRPr="00D05328" w:rsidRDefault="001E6D22" w:rsidP="00CE60EF">
            <w:pPr>
              <w:pStyle w:val="TableContents"/>
              <w:rPr>
                <w:rFonts w:hint="eastAsia"/>
              </w:rPr>
            </w:pPr>
            <w:r w:rsidRPr="00D05328">
              <w:rPr>
                <w:b/>
              </w:rPr>
              <w:t>Note</w:t>
            </w:r>
            <w:r w:rsidRPr="00D05328">
              <w:t>:</w:t>
            </w:r>
            <w:r>
              <w:rPr>
                <w:b/>
              </w:rPr>
              <w:t xml:space="preserve"> </w:t>
            </w:r>
            <w:r>
              <w:t xml:space="preserve">User can specify secondary </w:t>
            </w:r>
            <w:proofErr w:type="gramStart"/>
            <w:r>
              <w:t>alias  in</w:t>
            </w:r>
            <w:proofErr w:type="gramEnd"/>
            <w:r>
              <w:t xml:space="preserve"> square brackets (e.g. “_s1[_</w:t>
            </w:r>
            <w:proofErr w:type="spellStart"/>
            <w:r>
              <w:t>bl</w:t>
            </w:r>
            <w:proofErr w:type="spellEnd"/>
            <w:r>
              <w:t>]” means that program will use ‘_s1’ as alias, but if series with such alias is not found then the program will use ‘_</w:t>
            </w:r>
            <w:proofErr w:type="spellStart"/>
            <w:r>
              <w:t>bl</w:t>
            </w:r>
            <w:proofErr w:type="spellEnd"/>
            <w:r>
              <w:t>’ as alias).</w:t>
            </w:r>
          </w:p>
          <w:p w:rsidR="001E6D22" w:rsidRDefault="001E6D22" w:rsidP="00CE60EF">
            <w:pPr>
              <w:pStyle w:val="TableContents"/>
              <w:rPr>
                <w:rFonts w:hint="eastAsia"/>
              </w:rPr>
            </w:pPr>
            <w:r w:rsidRPr="000B3DD6">
              <w:rPr>
                <w:b/>
              </w:rPr>
              <w:t>Note</w:t>
            </w:r>
            <w:r>
              <w:t>: Should include “_” if the scenario alias does.</w:t>
            </w:r>
          </w:p>
        </w:tc>
      </w:tr>
      <w:tr w:rsidR="001E6D22" w:rsidTr="00360F6B">
        <w:tc>
          <w:tcPr>
            <w:tcW w:w="3600"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E6D22" w:rsidRDefault="001E6D22" w:rsidP="00CE60EF">
            <w:pPr>
              <w:pStyle w:val="TableContents"/>
              <w:rPr>
                <w:rFonts w:hint="eastAsia"/>
              </w:rPr>
            </w:pPr>
            <w:r>
              <w:t>INCLUDE_ADDF=</w:t>
            </w:r>
            <w:proofErr w:type="spellStart"/>
            <w:r w:rsidRPr="00C65D31">
              <w:rPr>
                <w:i/>
              </w:rPr>
              <w:t>arg</w:t>
            </w:r>
            <w:proofErr w:type="spellEnd"/>
          </w:p>
          <w:p w:rsidR="001E6D22" w:rsidRPr="008F37E6" w:rsidRDefault="001E6D22" w:rsidP="00CE60EF">
            <w:pPr>
              <w:pStyle w:val="TableContents"/>
              <w:rPr>
                <w:rFonts w:hint="eastAsia"/>
                <w:i/>
              </w:rPr>
            </w:pPr>
            <w:r w:rsidRPr="008F37E6">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E6D22" w:rsidRDefault="001E6D22" w:rsidP="00CE60EF">
            <w:pPr>
              <w:pStyle w:val="TableContents"/>
              <w:rPr>
                <w:rFonts w:hint="eastAsia"/>
              </w:rPr>
            </w:pPr>
            <w:r>
              <w:t xml:space="preserve">Indicator whether add-factor series should be included in the graph. </w:t>
            </w:r>
            <w:proofErr w:type="spellStart"/>
            <w:r>
              <w:t>Arg</w:t>
            </w:r>
            <w:proofErr w:type="spellEnd"/>
            <w:r>
              <w:t xml:space="preserve"> may be “t” and “f”.</w:t>
            </w:r>
          </w:p>
        </w:tc>
      </w:tr>
      <w:tr w:rsidR="008F37E6" w:rsidTr="00B404F0">
        <w:tc>
          <w:tcPr>
            <w:tcW w:w="3600"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8F37E6" w:rsidRDefault="008F37E6" w:rsidP="0088782C">
            <w:pPr>
              <w:pStyle w:val="TableContents"/>
              <w:rPr>
                <w:rFonts w:hint="eastAsia"/>
              </w:rPr>
            </w:pPr>
            <w:r>
              <w:t>INCLUDE_SUM=</w:t>
            </w:r>
            <w:proofErr w:type="spellStart"/>
            <w:r w:rsidRPr="00C65D31">
              <w:rPr>
                <w:i/>
              </w:rPr>
              <w:t>arg</w:t>
            </w:r>
            <w:proofErr w:type="spellEnd"/>
          </w:p>
          <w:p w:rsidR="008F37E6" w:rsidRPr="008F37E6" w:rsidRDefault="008F37E6" w:rsidP="0088782C">
            <w:pPr>
              <w:pStyle w:val="TableContents"/>
              <w:rPr>
                <w:rFonts w:hint="eastAsia"/>
                <w:i/>
              </w:rPr>
            </w:pPr>
            <w:r w:rsidRPr="008F37E6">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8F37E6" w:rsidRDefault="008F37E6" w:rsidP="008F37E6">
            <w:pPr>
              <w:pStyle w:val="TableContents"/>
              <w:rPr>
                <w:rFonts w:hint="eastAsia"/>
              </w:rPr>
            </w:pPr>
            <w:r>
              <w:t xml:space="preserve">Indicator whether sum of all drivers should be included in the graph. </w:t>
            </w:r>
            <w:proofErr w:type="spellStart"/>
            <w:r>
              <w:t>Arg</w:t>
            </w:r>
            <w:proofErr w:type="spellEnd"/>
            <w:r>
              <w:t xml:space="preserve"> may be “t” and “f”.</w:t>
            </w:r>
          </w:p>
        </w:tc>
      </w:tr>
      <w:tr w:rsidR="008F37E6" w:rsidTr="00474D4B">
        <w:tc>
          <w:tcPr>
            <w:tcW w:w="3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F37E6" w:rsidRDefault="008F37E6" w:rsidP="0088782C">
            <w:pPr>
              <w:pStyle w:val="TableContents"/>
              <w:rPr>
                <w:rFonts w:hint="eastAsia"/>
                <w:i/>
              </w:rPr>
            </w:pPr>
            <w:r>
              <w:t>SAMPLE=</w:t>
            </w:r>
            <w:proofErr w:type="spellStart"/>
            <w:r w:rsidRPr="00E57E6D">
              <w:rPr>
                <w:i/>
              </w:rPr>
              <w:t>arg</w:t>
            </w:r>
            <w:proofErr w:type="spellEnd"/>
          </w:p>
          <w:p w:rsidR="008F37E6" w:rsidRPr="008F37E6" w:rsidRDefault="008F37E6" w:rsidP="0088782C">
            <w:pPr>
              <w:pStyle w:val="TableContents"/>
              <w:rPr>
                <w:rFonts w:hint="eastAsia"/>
                <w:i/>
              </w:rPr>
            </w:pPr>
            <w:r w:rsidRPr="008F37E6">
              <w:rPr>
                <w:i/>
              </w:rPr>
              <w:t>(default=current workfile sample)</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F37E6" w:rsidRDefault="008F37E6" w:rsidP="0088782C">
            <w:pPr>
              <w:pStyle w:val="TableContents"/>
              <w:rPr>
                <w:rFonts w:hint="eastAsia"/>
              </w:rPr>
            </w:pPr>
            <w:r>
              <w:t>Sample of the forecast decomposition graph.</w:t>
            </w:r>
          </w:p>
          <w:p w:rsidR="008F37E6" w:rsidRPr="00C65D31" w:rsidRDefault="008F37E6" w:rsidP="0088782C">
            <w:pPr>
              <w:pStyle w:val="TableContents"/>
              <w:rPr>
                <w:rFonts w:hint="eastAsia"/>
              </w:rPr>
            </w:pPr>
            <w:r>
              <w:rPr>
                <w:b/>
              </w:rPr>
              <w:t xml:space="preserve">Note: </w:t>
            </w:r>
            <w:r>
              <w:t>The graph refers to actual workfile series, so that the graph can be changed to manual or automatic update to vary the sample in GUI.</w:t>
            </w:r>
          </w:p>
        </w:tc>
      </w:tr>
      <w:tr w:rsidR="008F37E6" w:rsidTr="00B404F0">
        <w:tc>
          <w:tcPr>
            <w:tcW w:w="3600"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8F37E6" w:rsidRDefault="008F37E6" w:rsidP="0088782C">
            <w:pPr>
              <w:pStyle w:val="TableContents"/>
              <w:rPr>
                <w:rFonts w:hint="eastAsia"/>
              </w:rPr>
            </w:pPr>
            <w:r>
              <w:t>GRAPH_NAME=</w:t>
            </w:r>
            <w:proofErr w:type="spellStart"/>
            <w:r w:rsidRPr="001E6D22">
              <w:rPr>
                <w:i/>
              </w:rPr>
              <w:t>arg</w:t>
            </w:r>
            <w:proofErr w:type="spellEnd"/>
          </w:p>
          <w:p w:rsidR="008F37E6" w:rsidRPr="008F37E6" w:rsidRDefault="008F37E6" w:rsidP="0088782C">
            <w:pPr>
              <w:pStyle w:val="TableContents"/>
              <w:rPr>
                <w:rFonts w:hint="eastAsia"/>
                <w:i/>
              </w:rPr>
            </w:pPr>
            <w:r w:rsidRPr="008F37E6">
              <w:rPr>
                <w:i/>
              </w:rPr>
              <w:t>(default=”</w:t>
            </w:r>
            <w:proofErr w:type="spellStart"/>
            <w:r w:rsidRPr="008F37E6">
              <w:rPr>
                <w:i/>
              </w:rPr>
              <w:t>gp_fd</w:t>
            </w:r>
            <w:proofErr w:type="spellEnd"/>
            <w:r w:rsidRPr="008F37E6">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8F37E6" w:rsidRDefault="008F37E6" w:rsidP="0088782C">
            <w:pPr>
              <w:pStyle w:val="TableContents"/>
              <w:rPr>
                <w:rFonts w:hint="eastAsia"/>
              </w:rPr>
            </w:pPr>
            <w:r>
              <w:t>Name of graph in workfile.</w:t>
            </w:r>
          </w:p>
        </w:tc>
      </w:tr>
      <w:tr w:rsidR="008F37E6" w:rsidTr="00B4492B">
        <w:tc>
          <w:tcPr>
            <w:tcW w:w="3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F37E6" w:rsidRDefault="008F37E6" w:rsidP="0088782C">
            <w:pPr>
              <w:pStyle w:val="TableContents"/>
              <w:rPr>
                <w:rFonts w:hint="eastAsia"/>
              </w:rPr>
            </w:pPr>
            <w:r>
              <w:t>KEEP_TABLE=</w:t>
            </w:r>
            <w:proofErr w:type="spellStart"/>
            <w:r w:rsidRPr="00C65D31">
              <w:rPr>
                <w:i/>
              </w:rPr>
              <w:t>arg</w:t>
            </w:r>
            <w:proofErr w:type="spellEnd"/>
          </w:p>
          <w:p w:rsidR="008F37E6" w:rsidRPr="008F37E6" w:rsidRDefault="008F37E6" w:rsidP="0088782C">
            <w:pPr>
              <w:pStyle w:val="TableContents"/>
              <w:rPr>
                <w:rFonts w:hint="eastAsia"/>
                <w:i/>
              </w:rPr>
            </w:pPr>
            <w:r w:rsidRPr="008F37E6">
              <w:rPr>
                <w:i/>
              </w:rPr>
              <w:lastRenderedPageBreak/>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F37E6" w:rsidRDefault="008F37E6" w:rsidP="0088782C">
            <w:pPr>
              <w:pStyle w:val="TableContents"/>
              <w:rPr>
                <w:rFonts w:hint="eastAsia"/>
              </w:rPr>
            </w:pPr>
            <w:r>
              <w:lastRenderedPageBreak/>
              <w:t xml:space="preserve">Indicator whether information table should be </w:t>
            </w:r>
            <w:r>
              <w:lastRenderedPageBreak/>
              <w:t>stored.</w:t>
            </w:r>
          </w:p>
          <w:p w:rsidR="008F37E6" w:rsidRDefault="008F37E6" w:rsidP="0088782C">
            <w:pPr>
              <w:pStyle w:val="TableContents"/>
              <w:rPr>
                <w:rFonts w:hint="eastAsia"/>
              </w:rPr>
            </w:pPr>
            <w:r w:rsidRPr="00F845DA">
              <w:rPr>
                <w:b/>
              </w:rPr>
              <w:t>Note</w:t>
            </w:r>
            <w:r>
              <w:t>: The table is stored under name ‘</w:t>
            </w:r>
            <w:proofErr w:type="spellStart"/>
            <w:r w:rsidRPr="00F845DA">
              <w:rPr>
                <w:rFonts w:hint="eastAsia"/>
              </w:rPr>
              <w:t>tb_forecast_decomposition</w:t>
            </w:r>
            <w:proofErr w:type="spellEnd"/>
            <w:r>
              <w:t>’.</w:t>
            </w:r>
          </w:p>
        </w:tc>
      </w:tr>
      <w:tr w:rsidR="008F37E6" w:rsidTr="00247AFE">
        <w:tc>
          <w:tcPr>
            <w:tcW w:w="3600"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8F37E6" w:rsidRDefault="008F37E6" w:rsidP="0088782C">
            <w:pPr>
              <w:pStyle w:val="TableContents"/>
              <w:rPr>
                <w:rFonts w:hint="eastAsia"/>
              </w:rPr>
            </w:pPr>
            <w:r>
              <w:lastRenderedPageBreak/>
              <w:t>USE_TABLE=</w:t>
            </w:r>
            <w:proofErr w:type="spellStart"/>
            <w:r w:rsidRPr="00C65D31">
              <w:rPr>
                <w:i/>
              </w:rPr>
              <w:t>arg</w:t>
            </w:r>
            <w:proofErr w:type="spellEnd"/>
          </w:p>
          <w:p w:rsidR="008F37E6" w:rsidRPr="008F37E6" w:rsidRDefault="008F37E6" w:rsidP="0088782C">
            <w:pPr>
              <w:pStyle w:val="TableContents"/>
              <w:rPr>
                <w:rFonts w:hint="eastAsia"/>
                <w:i/>
              </w:rPr>
            </w:pPr>
            <w:r w:rsidRPr="008F37E6">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8F37E6" w:rsidRDefault="008F37E6" w:rsidP="0088782C">
            <w:pPr>
              <w:pStyle w:val="TableContents"/>
              <w:rPr>
                <w:rFonts w:hint="eastAsia"/>
              </w:rPr>
            </w:pPr>
            <w:r>
              <w:t>Indicator whether existing information table (‘</w:t>
            </w:r>
            <w:proofErr w:type="spellStart"/>
            <w:r w:rsidRPr="00F845DA">
              <w:rPr>
                <w:rFonts w:hint="eastAsia"/>
              </w:rPr>
              <w:t>tb_forecast_decomposition</w:t>
            </w:r>
            <w:proofErr w:type="spellEnd"/>
            <w:r>
              <w:t>’) should be used.</w:t>
            </w:r>
          </w:p>
        </w:tc>
      </w:tr>
      <w:tr w:rsidR="008F37E6" w:rsidTr="00B4492B">
        <w:tc>
          <w:tcPr>
            <w:tcW w:w="3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F37E6" w:rsidRPr="00912406" w:rsidRDefault="008F37E6" w:rsidP="0088782C">
            <w:pPr>
              <w:pStyle w:val="TableContents"/>
              <w:rPr>
                <w:rFonts w:hint="eastAsia"/>
              </w:rPr>
            </w:pPr>
            <w:r>
              <w:t>PROMPT</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F37E6" w:rsidRDefault="008F37E6" w:rsidP="0088782C">
            <w:pPr>
              <w:pStyle w:val="TableContents"/>
              <w:rPr>
                <w:rFonts w:hint="eastAsia"/>
              </w:rPr>
            </w:pPr>
            <w:r>
              <w:t>Indicator that user dialog should be issued. Relevant when executed from program.</w:t>
            </w:r>
          </w:p>
        </w:tc>
      </w:tr>
    </w:tbl>
    <w:p w:rsidR="00EA06FF" w:rsidRDefault="00EA06FF" w:rsidP="00EA06FF">
      <w:pPr>
        <w:pStyle w:val="Standard"/>
        <w:ind w:left="1418"/>
        <w:rPr>
          <w:rFonts w:hint="eastAsia"/>
          <w:sz w:val="28"/>
          <w:szCs w:val="28"/>
        </w:rPr>
      </w:pPr>
    </w:p>
    <w:p w:rsidR="00EA06FF" w:rsidRDefault="00EA06FF" w:rsidP="00EA06FF">
      <w:pPr>
        <w:pStyle w:val="Standard"/>
        <w:ind w:left="709"/>
        <w:rPr>
          <w:rFonts w:hint="eastAsia"/>
          <w:b/>
          <w:bCs/>
          <w:sz w:val="28"/>
          <w:szCs w:val="28"/>
        </w:rPr>
      </w:pPr>
      <w:r>
        <w:rPr>
          <w:b/>
          <w:bCs/>
          <w:sz w:val="28"/>
          <w:szCs w:val="28"/>
        </w:rPr>
        <w:t>Examples</w:t>
      </w:r>
    </w:p>
    <w:p w:rsidR="008F37E6" w:rsidRDefault="00AD069E" w:rsidP="008F37E6">
      <w:pPr>
        <w:ind w:left="709"/>
        <w:rPr>
          <w:rFonts w:ascii="Courier New" w:hAnsi="Courier New"/>
        </w:rPr>
      </w:pPr>
      <w:r w:rsidRPr="00AD069E">
        <w:t xml:space="preserve">The commands </w:t>
      </w:r>
    </w:p>
    <w:p w:rsidR="00AD069E" w:rsidRPr="00AD069E" w:rsidRDefault="00AD069E" w:rsidP="008F37E6">
      <w:pPr>
        <w:pStyle w:val="Standard"/>
        <w:spacing w:before="120"/>
        <w:ind w:left="1411"/>
        <w:rPr>
          <w:rFonts w:ascii="Courier New" w:hAnsi="Courier New"/>
        </w:rPr>
      </w:pPr>
      <w:proofErr w:type="gramStart"/>
      <w:r w:rsidRPr="00AD069E">
        <w:rPr>
          <w:rFonts w:ascii="Courier New" w:hAnsi="Courier New"/>
        </w:rPr>
        <w:t>equation</w:t>
      </w:r>
      <w:proofErr w:type="gramEnd"/>
      <w:r w:rsidRPr="00AD069E">
        <w:rPr>
          <w:rFonts w:ascii="Courier New" w:hAnsi="Courier New"/>
        </w:rPr>
        <w:t xml:space="preserve"> eq01.ls d(</w:t>
      </w:r>
      <w:proofErr w:type="spellStart"/>
      <w:r w:rsidRPr="00AD069E">
        <w:rPr>
          <w:rFonts w:ascii="Courier New" w:hAnsi="Courier New"/>
        </w:rPr>
        <w:t>ip</w:t>
      </w:r>
      <w:proofErr w:type="spellEnd"/>
      <w:r w:rsidRPr="00AD069E">
        <w:rPr>
          <w:rFonts w:ascii="Courier New" w:hAnsi="Courier New"/>
        </w:rPr>
        <w:t>) c d(</w:t>
      </w:r>
      <w:proofErr w:type="spellStart"/>
      <w:r w:rsidRPr="00AD069E">
        <w:rPr>
          <w:rFonts w:ascii="Courier New" w:hAnsi="Courier New"/>
        </w:rPr>
        <w:t>gdp</w:t>
      </w:r>
      <w:proofErr w:type="spellEnd"/>
      <w:r w:rsidRPr="00AD069E">
        <w:rPr>
          <w:rFonts w:ascii="Courier New" w:hAnsi="Courier New"/>
        </w:rPr>
        <w:t>)</w:t>
      </w:r>
      <w:r>
        <w:rPr>
          <w:rFonts w:ascii="Courier New" w:hAnsi="Courier New"/>
        </w:rPr>
        <w:t xml:space="preserve"> </w:t>
      </w:r>
      <w:proofErr w:type="spellStart"/>
      <w:r>
        <w:rPr>
          <w:rFonts w:ascii="Courier New" w:hAnsi="Courier New"/>
        </w:rPr>
        <w:t>ir</w:t>
      </w:r>
      <w:proofErr w:type="spellEnd"/>
    </w:p>
    <w:p w:rsidR="00860E7C" w:rsidRDefault="00AD069E" w:rsidP="008F37E6">
      <w:pPr>
        <w:pStyle w:val="Standard"/>
        <w:spacing w:after="120"/>
        <w:ind w:left="1411"/>
        <w:rPr>
          <w:rFonts w:ascii="Courier New" w:hAnsi="Courier New"/>
        </w:rPr>
      </w:pPr>
      <w:proofErr w:type="gramStart"/>
      <w:r>
        <w:rPr>
          <w:rFonts w:ascii="Courier New" w:hAnsi="Courier New"/>
        </w:rPr>
        <w:t>eq01</w:t>
      </w:r>
      <w:r w:rsidR="004343A5">
        <w:rPr>
          <w:rFonts w:ascii="Courier New" w:hAnsi="Courier New"/>
        </w:rPr>
        <w:t>.</w:t>
      </w:r>
      <w:r w:rsidR="00376DE1">
        <w:rPr>
          <w:rFonts w:ascii="Courier New" w:hAnsi="Courier New"/>
        </w:rPr>
        <w:t>fcastdecomp</w:t>
      </w:r>
      <w:r w:rsidR="007D7087">
        <w:rPr>
          <w:rFonts w:ascii="Courier New" w:hAnsi="Courier New"/>
        </w:rPr>
        <w:t>(</w:t>
      </w:r>
      <w:proofErr w:type="spellStart"/>
      <w:proofErr w:type="gramEnd"/>
      <w:r w:rsidR="007D7087">
        <w:rPr>
          <w:rFonts w:ascii="Courier New" w:hAnsi="Courier New"/>
        </w:rPr>
        <w:t>nodialog</w:t>
      </w:r>
      <w:proofErr w:type="spellEnd"/>
      <w:r w:rsidR="007D7087">
        <w:rPr>
          <w:rFonts w:ascii="Courier New" w:hAnsi="Courier New"/>
        </w:rPr>
        <w:t>)</w:t>
      </w:r>
    </w:p>
    <w:p w:rsidR="009F0B95" w:rsidRDefault="00254057" w:rsidP="00254057">
      <w:pPr>
        <w:pStyle w:val="NoSpacing"/>
        <w:rPr>
          <w:rFonts w:hint="eastAsia"/>
        </w:rPr>
      </w:pPr>
      <w:proofErr w:type="gramStart"/>
      <w:r>
        <w:t>will</w:t>
      </w:r>
      <w:proofErr w:type="gramEnd"/>
      <w:r>
        <w:t xml:space="preserve"> </w:t>
      </w:r>
      <w:r w:rsidR="00AD069E">
        <w:t xml:space="preserve">estimate equation object EQ01 linking changes in IP to changes in GDP and changes in IR, as well as constant. It will then </w:t>
      </w:r>
      <w:r>
        <w:t xml:space="preserve">create graph </w:t>
      </w:r>
      <w:r w:rsidR="00A54FD3">
        <w:t xml:space="preserve">which will include 4 series – </w:t>
      </w:r>
      <w:proofErr w:type="gramStart"/>
      <w:r w:rsidR="00A54FD3">
        <w:t>D(</w:t>
      </w:r>
      <w:proofErr w:type="gramEnd"/>
      <w:r w:rsidR="00A54FD3">
        <w:t xml:space="preserve">IP) as dependent variable series, </w:t>
      </w:r>
      <w:r w:rsidR="007D7087">
        <w:t xml:space="preserve">and </w:t>
      </w:r>
      <w:r w:rsidR="00A54FD3">
        <w:t>constant</w:t>
      </w:r>
      <w:r w:rsidR="007D7087">
        <w:t>,</w:t>
      </w:r>
      <w:r w:rsidR="00A54FD3">
        <w:t xml:space="preserve"> D(GDP) and </w:t>
      </w:r>
      <w:r w:rsidR="009767D0">
        <w:t>IR</w:t>
      </w:r>
      <w:r w:rsidR="005A4404">
        <w:t xml:space="preserve"> as driver</w:t>
      </w:r>
      <w:r w:rsidR="00A54FD3">
        <w:t xml:space="preserve">. </w:t>
      </w:r>
      <w:r w:rsidR="00C65D31">
        <w:t>The graph will have sample of the current workfile page sample.</w:t>
      </w:r>
    </w:p>
    <w:p w:rsidR="00A54FD3" w:rsidRDefault="00A54FD3" w:rsidP="00254057">
      <w:pPr>
        <w:pStyle w:val="NoSpacing"/>
        <w:rPr>
          <w:rFonts w:hint="eastAsia"/>
        </w:rPr>
      </w:pPr>
      <w:r>
        <w:t xml:space="preserve">If instead the </w:t>
      </w:r>
      <w:r w:rsidR="00C65D31">
        <w:t>user calls following command:</w:t>
      </w:r>
    </w:p>
    <w:p w:rsidR="00C65D31" w:rsidRDefault="00C65D31" w:rsidP="008F37E6">
      <w:pPr>
        <w:pStyle w:val="Standard"/>
        <w:spacing w:before="120" w:after="120"/>
        <w:ind w:left="1440"/>
        <w:rPr>
          <w:rFonts w:ascii="Courier New" w:hAnsi="Courier New"/>
        </w:rPr>
      </w:pPr>
      <w:proofErr w:type="gramStart"/>
      <w:r>
        <w:rPr>
          <w:rFonts w:ascii="Courier New" w:hAnsi="Courier New"/>
        </w:rPr>
        <w:t>eq01.fcastdecomp(</w:t>
      </w:r>
      <w:proofErr w:type="gramEnd"/>
      <w:r>
        <w:rPr>
          <w:rFonts w:ascii="Courier New" w:hAnsi="Courier New"/>
        </w:rPr>
        <w:t>sample=”2020q1 2022q4”,alias_list=”_</w:t>
      </w:r>
      <w:proofErr w:type="spellStart"/>
      <w:r>
        <w:rPr>
          <w:rFonts w:ascii="Courier New" w:hAnsi="Courier New"/>
        </w:rPr>
        <w:t>bl</w:t>
      </w:r>
      <w:proofErr w:type="spellEnd"/>
      <w:r>
        <w:rPr>
          <w:rFonts w:ascii="Courier New" w:hAnsi="Courier New"/>
        </w:rPr>
        <w:t>”</w:t>
      </w:r>
      <w:r w:rsidR="00F13981">
        <w:rPr>
          <w:rFonts w:ascii="Courier New" w:hAnsi="Courier New"/>
        </w:rPr>
        <w:t>,</w:t>
      </w:r>
      <w:r w:rsidR="0017707D">
        <w:rPr>
          <w:rFonts w:ascii="Courier New" w:hAnsi="Courier New"/>
        </w:rPr>
        <w:t xml:space="preserve"> </w:t>
      </w:r>
      <w:proofErr w:type="spellStart"/>
      <w:r w:rsidR="00F13981">
        <w:rPr>
          <w:rFonts w:ascii="Courier New" w:hAnsi="Courier New"/>
        </w:rPr>
        <w:t>include_addf</w:t>
      </w:r>
      <w:proofErr w:type="spellEnd"/>
      <w:r w:rsidR="00F13981">
        <w:rPr>
          <w:rFonts w:ascii="Courier New" w:hAnsi="Courier New"/>
        </w:rPr>
        <w:t>=”t”</w:t>
      </w:r>
      <w:r>
        <w:rPr>
          <w:rFonts w:ascii="Courier New" w:hAnsi="Courier New"/>
        </w:rPr>
        <w:t xml:space="preserve">) </w:t>
      </w:r>
    </w:p>
    <w:p w:rsidR="00C65D31" w:rsidRDefault="00C65D31" w:rsidP="00C65D31">
      <w:pPr>
        <w:pStyle w:val="NoSpacing"/>
        <w:rPr>
          <w:rFonts w:hint="eastAsia"/>
        </w:rPr>
      </w:pPr>
      <w:r>
        <w:t xml:space="preserve">then the graph will have sample starting in 2020q1 and ending in 2022q4, and </w:t>
      </w:r>
      <w:r w:rsidR="00F13981">
        <w:t>it will display following 5</w:t>
      </w:r>
      <w:r w:rsidR="00D05328">
        <w:t xml:space="preserve"> series –</w:t>
      </w:r>
      <w:r w:rsidR="007D7087">
        <w:t xml:space="preserve"> </w:t>
      </w:r>
      <w:r w:rsidR="00D05328">
        <w:t>D(</w:t>
      </w:r>
      <w:proofErr w:type="spellStart"/>
      <w:r w:rsidR="00D05328">
        <w:t>IP</w:t>
      </w:r>
      <w:r w:rsidR="005A4404">
        <w:t>_bl</w:t>
      </w:r>
      <w:proofErr w:type="spellEnd"/>
      <w:r w:rsidR="005A4404">
        <w:t xml:space="preserve">) as dependent variable, and </w:t>
      </w:r>
      <w:r w:rsidR="007D7087">
        <w:t xml:space="preserve">constant, D(GDP_BL) and D(IR_BL) </w:t>
      </w:r>
      <w:r w:rsidR="00F13981">
        <w:t xml:space="preserve">together with IP_A </w:t>
      </w:r>
      <w:r w:rsidR="007D7087">
        <w:t xml:space="preserve">as drivers. </w:t>
      </w:r>
    </w:p>
    <w:p w:rsidR="007D7087" w:rsidRDefault="007D7087" w:rsidP="00C65D31">
      <w:pPr>
        <w:pStyle w:val="NoSpacing"/>
        <w:rPr>
          <w:rFonts w:hint="eastAsia"/>
        </w:rPr>
      </w:pPr>
      <w:r>
        <w:t>Finally, if following command is issued</w:t>
      </w:r>
    </w:p>
    <w:p w:rsidR="007D7087" w:rsidRDefault="007D7087" w:rsidP="008F37E6">
      <w:pPr>
        <w:pStyle w:val="Standard"/>
        <w:spacing w:before="120" w:after="120"/>
        <w:ind w:left="1440"/>
        <w:rPr>
          <w:rFonts w:ascii="Courier New" w:hAnsi="Courier New"/>
        </w:rPr>
      </w:pPr>
      <w:proofErr w:type="gramStart"/>
      <w:r>
        <w:rPr>
          <w:rFonts w:ascii="Courier New" w:hAnsi="Courier New"/>
        </w:rPr>
        <w:t>eq01.fcastdecomp(</w:t>
      </w:r>
      <w:proofErr w:type="gramEnd"/>
      <w:r>
        <w:rPr>
          <w:rFonts w:ascii="Courier New" w:hAnsi="Courier New"/>
        </w:rPr>
        <w:t>sample=”2020q1 2022q4”,alias_list=”_s1 _</w:t>
      </w:r>
      <w:proofErr w:type="spellStart"/>
      <w:r>
        <w:rPr>
          <w:rFonts w:ascii="Courier New" w:hAnsi="Courier New"/>
        </w:rPr>
        <w:t>bl</w:t>
      </w:r>
      <w:proofErr w:type="spellEnd"/>
      <w:r>
        <w:rPr>
          <w:rFonts w:ascii="Courier New" w:hAnsi="Courier New"/>
        </w:rPr>
        <w:t xml:space="preserve">”) </w:t>
      </w:r>
    </w:p>
    <w:p w:rsidR="00EA06FF" w:rsidRDefault="007D7087" w:rsidP="007D7087">
      <w:pPr>
        <w:pStyle w:val="NoSpacing"/>
        <w:rPr>
          <w:rFonts w:hint="eastAsia"/>
        </w:rPr>
      </w:pPr>
      <w:r>
        <w:t>then the graph will include 3 series – D(IP_S1)-D(IP_BL) as dependent variable</w:t>
      </w:r>
      <w:r w:rsidR="00F13981">
        <w:t>,</w:t>
      </w:r>
      <w:r>
        <w:t xml:space="preserve"> D(GDP_S1)-D(GDP_BL) and D(IR_S1))-D(IR_BL) as drivers.</w:t>
      </w:r>
    </w:p>
    <w:p w:rsidR="007D7087" w:rsidRDefault="007D7087" w:rsidP="007D7087">
      <w:pPr>
        <w:pStyle w:val="NoSpacing"/>
      </w:pPr>
      <w:r>
        <w:t xml:space="preserve">See </w:t>
      </w:r>
      <w:r w:rsidR="008B714F">
        <w:t>next section</w:t>
      </w:r>
      <w:r>
        <w:t xml:space="preserve"> for </w:t>
      </w:r>
      <w:r w:rsidR="008F37E6">
        <w:t xml:space="preserve">detailed explanation and section after that for </w:t>
      </w:r>
      <w:r>
        <w:t>illustrations.</w:t>
      </w:r>
    </w:p>
    <w:p w:rsidR="008F37E6" w:rsidRDefault="008F37E6" w:rsidP="008F37E6">
      <w:pPr>
        <w:pStyle w:val="Heading1"/>
      </w:pPr>
      <w:r w:rsidRPr="008F37E6">
        <w:t>Decomposition explanation</w:t>
      </w:r>
    </w:p>
    <w:p w:rsidR="008F37E6" w:rsidRDefault="008F37E6" w:rsidP="008F37E6">
      <w:pPr>
        <w:pStyle w:val="NoSpacing"/>
        <w:rPr>
          <w:rFonts w:hint="eastAsia"/>
        </w:rPr>
      </w:pPr>
      <w:r>
        <w:rPr>
          <w:rFonts w:hint="eastAsia"/>
        </w:rPr>
        <w:t>Consider your equation has following form:</w:t>
      </w:r>
    </w:p>
    <w:p w:rsidR="008F37E6" w:rsidRPr="0018372F" w:rsidRDefault="008F37E6" w:rsidP="008F37E6">
      <w:pPr>
        <w:pStyle w:val="NoSpacing"/>
        <w:spacing w:before="120"/>
        <w:rPr>
          <w:rFonts w:ascii="Cambria Math" w:hAnsi="Cambria Math" w:hint="eastAsia"/>
          <w:oMath/>
        </w:rPr>
      </w:pPr>
      <m:oMathPara>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e>
          </m:d>
          <m:r>
            <w:rPr>
              <w:rFonts w:ascii="Cambria Math" w:hAnsi="Cambria Math" w:hint="eastAsia"/>
            </w:rPr>
            <m:t>=</m:t>
          </m:r>
          <m:sSub>
            <m:sSubPr>
              <m:ctrlPr>
                <w:rPr>
                  <w:rFonts w:ascii="Cambria Math" w:hAnsi="Cambria Math"/>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β</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β</m:t>
              </m:r>
            </m:e>
            <m:sub>
              <m:r>
                <w:rPr>
                  <w:rFonts w:ascii="Cambria Math" w:hAnsi="Cambria Math" w:hint="eastAsia"/>
                </w:rPr>
                <m:t>2</m:t>
              </m:r>
            </m:sub>
          </m:sSub>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rsidR="002B19A9" w:rsidRDefault="008F37E6" w:rsidP="008F37E6">
      <w:pPr>
        <w:pStyle w:val="NoSpacing"/>
      </w:pPr>
      <w:r>
        <w:rPr>
          <w:rFonts w:hint="eastAsia"/>
        </w:rPr>
        <w:t>Then in eac</w:t>
      </w:r>
      <w:r>
        <w:t xml:space="preserve">h period the value of </w:t>
      </w:r>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e>
        </m:d>
      </m:oMath>
      <w:r>
        <w:t xml:space="preserve"> is equal to </w:t>
      </w:r>
      <w:proofErr w:type="gramStart"/>
      <w:r>
        <w:t xml:space="preserve">constant </w:t>
      </w:r>
      <w:proofErr w:type="gramEnd"/>
      <m:oMath>
        <m:sSub>
          <m:sSubPr>
            <m:ctrlPr>
              <w:rPr>
                <w:rFonts w:ascii="Cambria Math" w:hAnsi="Cambria Math"/>
                <w:i/>
              </w:rPr>
            </m:ctrlPr>
          </m:sSubPr>
          <m:e>
            <m:r>
              <w:rPr>
                <w:rFonts w:ascii="Cambria Math" w:hAnsi="Cambria Math" w:hint="eastAsia"/>
              </w:rPr>
              <m:t>β</m:t>
            </m:r>
          </m:e>
          <m:sub>
            <m:r>
              <w:rPr>
                <w:rFonts w:ascii="Cambria Math" w:hAnsi="Cambria Math" w:hint="eastAsia"/>
              </w:rPr>
              <m:t>0</m:t>
            </m:r>
          </m:sub>
        </m:sSub>
      </m:oMath>
      <w:r>
        <w:t xml:space="preserve">, effect of the two regressors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z</m:t>
            </m:r>
            <m:ctrlPr>
              <w:rPr>
                <w:rFonts w:ascii="Cambria Math" w:hAnsi="Cambria Math" w:hint="eastAsia"/>
                <w:i/>
              </w:rPr>
            </m:ctrlPr>
          </m:e>
          <m:sub>
            <m:r>
              <w:rPr>
                <w:rFonts w:ascii="Cambria Math" w:hAnsi="Cambria Math"/>
              </w:rPr>
              <m:t>t</m:t>
            </m:r>
          </m:sub>
        </m:sSub>
      </m:oMath>
      <w:r>
        <w:t xml:space="preserve">, and the value of add-factor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The effect of each regressor is then equal to its value in given period multiplied by the associated regression coefficient. The language used here is that the forecast for </w:t>
      </w:r>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e>
        </m:d>
      </m:oMath>
      <w:r>
        <w:t xml:space="preserve"> can be decomposed into 4 drivers of the forecast: </w:t>
      </w:r>
      <m:oMath>
        <m:d>
          <m:dPr>
            <m:ctrlPr>
              <w:rPr>
                <w:rFonts w:ascii="Cambria Math" w:hAnsi="Cambria Math"/>
                <w:i/>
              </w:rPr>
            </m:ctrlPr>
          </m:dPr>
          <m:e>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hint="eastAsia"/>
              </w:rPr>
              <m:t>β</m:t>
            </m:r>
          </m:e>
          <m:sub>
            <m:r>
              <w:rPr>
                <w:rFonts w:ascii="Cambria Math" w:hAnsi="Cambria Math" w:hint="eastAsia"/>
              </w:rPr>
              <m:t>0</m:t>
            </m:r>
          </m:sub>
        </m:sSub>
        <m: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hint="eastAsia"/>
              </w:rPr>
              <m:t>β</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r>
          <w:rPr>
            <w:rFonts w:ascii="Cambria Math" w:hAnsi="Cambria Math"/>
          </w:rPr>
          <m:t>,</m:t>
        </m:r>
        <m:r>
          <w:rPr>
            <w:rFonts w:ascii="Cambria Math" w:hAnsi="Cambria Math"/>
          </w:rPr>
          <m:t xml:space="preserve"> (3) </m:t>
        </m:r>
        <m:sSub>
          <m:sSubPr>
            <m:ctrlPr>
              <w:rPr>
                <w:rFonts w:ascii="Cambria Math" w:hAnsi="Cambria Math"/>
                <w:i/>
              </w:rPr>
            </m:ctrlPr>
          </m:sSubPr>
          <m:e>
            <m:r>
              <w:rPr>
                <w:rFonts w:ascii="Cambria Math" w:hAnsi="Cambria Math" w:hint="eastAsia"/>
              </w:rPr>
              <m:t>β</m:t>
            </m:r>
          </m:e>
          <m:sub>
            <m:r>
              <w:rPr>
                <w:rFonts w:ascii="Cambria Math" w:hAnsi="Cambria Math" w:hint="eastAsia"/>
              </w:rPr>
              <m:t>2</m:t>
            </m:r>
          </m:sub>
        </m:sSub>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e>
        </m:d>
      </m:oMath>
      <w:r>
        <w:t xml:space="preserve"> </w:t>
      </w:r>
      <w:proofErr w:type="gramStart"/>
      <w:r>
        <w:t xml:space="preserve">and </w:t>
      </w:r>
      <w:proofErr w:type="gramEnd"/>
      <m:oMath>
        <m:d>
          <m:dPr>
            <m:ctrlPr>
              <w:rPr>
                <w:rFonts w:ascii="Cambria Math" w:hAnsi="Cambria Math"/>
                <w:i/>
              </w:rPr>
            </m:ctrlPr>
          </m:dPr>
          <m:e>
            <m:r>
              <w:rPr>
                <w:rFonts w:ascii="Cambria Math" w:hAnsi="Cambria Math"/>
              </w:rPr>
              <m:t>4</m:t>
            </m:r>
          </m:e>
        </m:d>
        <m:sSub>
          <m:sSubPr>
            <m:ctrlPr>
              <w:rPr>
                <w:rFonts w:ascii="Cambria Math" w:hAnsi="Cambria Math"/>
                <w:i/>
              </w:rPr>
            </m:ctrlPr>
          </m:sSubPr>
          <m:e>
            <m:r>
              <w:rPr>
                <w:rFonts w:ascii="Cambria Math" w:hAnsi="Cambria Math"/>
              </w:rPr>
              <m:t>a</m:t>
            </m:r>
          </m:e>
          <m:sub>
            <m:r>
              <w:rPr>
                <w:rFonts w:ascii="Cambria Math" w:hAnsi="Cambria Math"/>
              </w:rPr>
              <m:t>t</m:t>
            </m:r>
          </m:sub>
        </m:sSub>
      </m:oMath>
      <w:r>
        <w:t>. The for</w:t>
      </w:r>
      <w:r>
        <w:t xml:space="preserve">ecast decomposition graph then has </w:t>
      </w:r>
      <w:r>
        <w:t xml:space="preserve">5 series: one capturing the forecast for </w:t>
      </w:r>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e>
        </m:d>
      </m:oMath>
      <w:r>
        <w:t xml:space="preserve"> and 4 corresponding to the forecast drivers. </w:t>
      </w:r>
    </w:p>
    <w:p w:rsidR="008F37E6" w:rsidRDefault="008F37E6" w:rsidP="008F37E6">
      <w:pPr>
        <w:pStyle w:val="NoSpacing"/>
      </w:pPr>
      <w:r>
        <w:t xml:space="preserve">Note that in general one can do forecast decomposition only for the variables in their transformation (e.g. </w:t>
      </w:r>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e>
        </m:d>
      </m:oMath>
      <w:r>
        <w:t xml:space="preserve"> rather </w:t>
      </w:r>
      <w:proofErr w:type="gramStart"/>
      <w:r>
        <w:t xml:space="preserve">than </w:t>
      </w:r>
      <w:proofErr w:type="gramEnd"/>
      <m:oMath>
        <m:sSub>
          <m:sSubPr>
            <m:ctrlPr>
              <w:rPr>
                <w:rFonts w:ascii="Cambria Math" w:hAnsi="Cambria Math"/>
                <w:i/>
              </w:rPr>
            </m:ctrlPr>
          </m:sSubPr>
          <m:e>
            <m:r>
              <w:rPr>
                <w:rFonts w:ascii="Cambria Math" w:hAnsi="Cambria Math"/>
              </w:rPr>
              <m:t>y</m:t>
            </m:r>
          </m:e>
          <m:sub>
            <m:r>
              <w:rPr>
                <w:rFonts w:ascii="Cambria Math" w:hAnsi="Cambria Math"/>
              </w:rPr>
              <m:t>t</m:t>
            </m:r>
          </m:sub>
        </m:sSub>
      </m:oMath>
      <w:r>
        <w:t>), since otherwise the forecast might not be additively separable and/or forecast effects might accumulate.</w:t>
      </w:r>
      <w:r w:rsidR="002B19A9">
        <w:t xml:space="preserve"> This also means that in presence of lagged dependent variables the drivers show only the period effects, not the cumulative effects of individual </w:t>
      </w:r>
      <w:proofErr w:type="spellStart"/>
      <w:r w:rsidR="002B19A9">
        <w:t>regressors</w:t>
      </w:r>
      <w:proofErr w:type="spellEnd"/>
      <w:r w:rsidR="002B19A9">
        <w:t>.</w:t>
      </w:r>
    </w:p>
    <w:p w:rsidR="008B714F" w:rsidRDefault="008B714F" w:rsidP="00506338">
      <w:pPr>
        <w:pStyle w:val="Heading1"/>
        <w:rPr>
          <w:rFonts w:hint="eastAsia"/>
        </w:rPr>
      </w:pPr>
      <w:r>
        <w:t>Output illustration</w:t>
      </w:r>
    </w:p>
    <w:p w:rsidR="00506338" w:rsidRDefault="00506338" w:rsidP="008B714F">
      <w:pPr>
        <w:ind w:left="709"/>
      </w:pPr>
      <w:r>
        <w:t>Consider following equation that will be used for the illustration:</w:t>
      </w:r>
    </w:p>
    <w:p w:rsidR="002B19A9" w:rsidRDefault="002B19A9" w:rsidP="002B19A9">
      <w:pPr>
        <w:pStyle w:val="Standard"/>
        <w:spacing w:before="120" w:after="120"/>
        <w:ind w:left="1411"/>
        <w:rPr>
          <w:rFonts w:ascii="Courier New" w:hAnsi="Courier New"/>
        </w:rPr>
      </w:pPr>
      <w:proofErr w:type="gramStart"/>
      <w:r w:rsidRPr="002B19A9">
        <w:rPr>
          <w:rFonts w:ascii="Courier New" w:hAnsi="Courier New" w:hint="eastAsia"/>
        </w:rPr>
        <w:t>equation</w:t>
      </w:r>
      <w:proofErr w:type="gramEnd"/>
      <w:r w:rsidRPr="002B19A9">
        <w:rPr>
          <w:rFonts w:ascii="Courier New" w:hAnsi="Courier New" w:hint="eastAsia"/>
        </w:rPr>
        <w:t xml:space="preserve"> eq.ls </w:t>
      </w:r>
      <w:proofErr w:type="spellStart"/>
      <w:r w:rsidRPr="002B19A9">
        <w:rPr>
          <w:rFonts w:ascii="Courier New" w:hAnsi="Courier New" w:hint="eastAsia"/>
        </w:rPr>
        <w:t>dlog</w:t>
      </w:r>
      <w:proofErr w:type="spellEnd"/>
      <w:r w:rsidRPr="002B19A9">
        <w:rPr>
          <w:rFonts w:ascii="Courier New" w:hAnsi="Courier New" w:hint="eastAsia"/>
        </w:rPr>
        <w:t>(</w:t>
      </w:r>
      <w:proofErr w:type="spellStart"/>
      <w:r w:rsidRPr="002B19A9">
        <w:rPr>
          <w:rFonts w:ascii="Courier New" w:hAnsi="Courier New" w:hint="eastAsia"/>
        </w:rPr>
        <w:t>ip</w:t>
      </w:r>
      <w:proofErr w:type="spellEnd"/>
      <w:r w:rsidRPr="002B19A9">
        <w:rPr>
          <w:rFonts w:ascii="Courier New" w:hAnsi="Courier New" w:hint="eastAsia"/>
        </w:rPr>
        <w:t xml:space="preserve">) c </w:t>
      </w:r>
      <w:proofErr w:type="spellStart"/>
      <w:r w:rsidRPr="002B19A9">
        <w:rPr>
          <w:rFonts w:ascii="Courier New" w:hAnsi="Courier New" w:hint="eastAsia"/>
        </w:rPr>
        <w:t>dlog</w:t>
      </w:r>
      <w:proofErr w:type="spellEnd"/>
      <w:r w:rsidRPr="002B19A9">
        <w:rPr>
          <w:rFonts w:ascii="Courier New" w:hAnsi="Courier New" w:hint="eastAsia"/>
        </w:rPr>
        <w:t>(</w:t>
      </w:r>
      <w:proofErr w:type="spellStart"/>
      <w:r w:rsidRPr="002B19A9">
        <w:rPr>
          <w:rFonts w:ascii="Courier New" w:hAnsi="Courier New" w:hint="eastAsia"/>
        </w:rPr>
        <w:t>ip</w:t>
      </w:r>
      <w:proofErr w:type="spellEnd"/>
      <w:r w:rsidRPr="002B19A9">
        <w:rPr>
          <w:rFonts w:ascii="Courier New" w:hAnsi="Courier New" w:hint="eastAsia"/>
        </w:rPr>
        <w:t xml:space="preserve">(-1)) </w:t>
      </w:r>
      <w:proofErr w:type="spellStart"/>
      <w:r w:rsidRPr="002B19A9">
        <w:rPr>
          <w:rFonts w:ascii="Courier New" w:hAnsi="Courier New" w:hint="eastAsia"/>
        </w:rPr>
        <w:t>dlog</w:t>
      </w:r>
      <w:proofErr w:type="spellEnd"/>
      <w:r w:rsidRPr="002B19A9">
        <w:rPr>
          <w:rFonts w:ascii="Courier New" w:hAnsi="Courier New" w:hint="eastAsia"/>
        </w:rPr>
        <w:t>(</w:t>
      </w:r>
      <w:proofErr w:type="spellStart"/>
      <w:r w:rsidRPr="002B19A9">
        <w:rPr>
          <w:rFonts w:ascii="Courier New" w:hAnsi="Courier New" w:hint="eastAsia"/>
        </w:rPr>
        <w:t>gdp</w:t>
      </w:r>
      <w:proofErr w:type="spellEnd"/>
      <w:r w:rsidRPr="002B19A9">
        <w:rPr>
          <w:rFonts w:ascii="Courier New" w:hAnsi="Courier New" w:hint="eastAsia"/>
        </w:rPr>
        <w:t xml:space="preserve">)  </w:t>
      </w:r>
      <w:proofErr w:type="spellStart"/>
      <w:r w:rsidRPr="002B19A9">
        <w:rPr>
          <w:rFonts w:ascii="Courier New" w:hAnsi="Courier New" w:hint="eastAsia"/>
        </w:rPr>
        <w:t>libor</w:t>
      </w:r>
      <w:proofErr w:type="spellEnd"/>
      <w:r w:rsidRPr="002B19A9">
        <w:rPr>
          <w:rFonts w:ascii="Courier New" w:hAnsi="Courier New" w:hint="eastAsia"/>
        </w:rPr>
        <w:t>*</w:t>
      </w:r>
      <w:proofErr w:type="spellStart"/>
      <w:r w:rsidRPr="002B19A9">
        <w:rPr>
          <w:rFonts w:ascii="Courier New" w:hAnsi="Courier New" w:hint="eastAsia"/>
        </w:rPr>
        <w:t>dum_fincrisis</w:t>
      </w:r>
      <w:proofErr w:type="spellEnd"/>
      <w:r w:rsidRPr="002B19A9">
        <w:rPr>
          <w:rFonts w:ascii="Courier New" w:hAnsi="Courier New"/>
        </w:rPr>
        <w:t xml:space="preserve"> </w:t>
      </w:r>
    </w:p>
    <w:p w:rsidR="002B19A9" w:rsidRPr="002B19A9" w:rsidRDefault="00506338" w:rsidP="002B19A9">
      <w:pPr>
        <w:spacing w:after="120"/>
        <w:ind w:left="706"/>
        <w:rPr>
          <w:rFonts w:ascii="Arial" w:eastAsiaTheme="minorHAnsi" w:hAnsi="Arial"/>
          <w:kern w:val="0"/>
          <w:sz w:val="18"/>
          <w:szCs w:val="18"/>
          <w:lang w:eastAsia="en-US" w:bidi="ar-SA"/>
        </w:rPr>
      </w:pPr>
      <w:r>
        <w:t xml:space="preserve">The equation includes 4 drivers: </w:t>
      </w:r>
      <w:r w:rsidRPr="00506338">
        <w:rPr>
          <w:i/>
        </w:rPr>
        <w:t>constant</w:t>
      </w:r>
      <w:r>
        <w:t xml:space="preserve">, </w:t>
      </w:r>
      <w:proofErr w:type="spellStart"/>
      <w:proofErr w:type="gramStart"/>
      <w:r w:rsidRPr="00506338">
        <w:rPr>
          <w:rFonts w:hint="eastAsia"/>
          <w:i/>
        </w:rPr>
        <w:t>dlog</w:t>
      </w:r>
      <w:proofErr w:type="spellEnd"/>
      <w:r w:rsidRPr="00506338">
        <w:rPr>
          <w:rFonts w:hint="eastAsia"/>
          <w:i/>
        </w:rPr>
        <w:t>(</w:t>
      </w:r>
      <w:proofErr w:type="spellStart"/>
      <w:proofErr w:type="gramEnd"/>
      <w:r w:rsidR="002B19A9">
        <w:rPr>
          <w:i/>
        </w:rPr>
        <w:t>ip</w:t>
      </w:r>
      <w:proofErr w:type="spellEnd"/>
      <w:r w:rsidR="002B19A9">
        <w:rPr>
          <w:i/>
        </w:rPr>
        <w:t>(-1)</w:t>
      </w:r>
      <w:r w:rsidRPr="00506338">
        <w:rPr>
          <w:rFonts w:hint="eastAsia"/>
          <w:i/>
        </w:rPr>
        <w:t>)</w:t>
      </w:r>
      <w:r>
        <w:t xml:space="preserve">, </w:t>
      </w:r>
      <w:proofErr w:type="spellStart"/>
      <w:r w:rsidRPr="00506338">
        <w:rPr>
          <w:rFonts w:hint="eastAsia"/>
          <w:i/>
        </w:rPr>
        <w:t>dlog</w:t>
      </w:r>
      <w:proofErr w:type="spellEnd"/>
      <w:r w:rsidRPr="00506338">
        <w:rPr>
          <w:rFonts w:hint="eastAsia"/>
          <w:i/>
        </w:rPr>
        <w:t>(</w:t>
      </w:r>
      <w:proofErr w:type="spellStart"/>
      <w:r w:rsidRPr="00506338">
        <w:rPr>
          <w:rFonts w:hint="eastAsia"/>
          <w:i/>
        </w:rPr>
        <w:t>gdp</w:t>
      </w:r>
      <w:proofErr w:type="spellEnd"/>
      <w:r w:rsidRPr="00506338">
        <w:rPr>
          <w:rFonts w:hint="eastAsia"/>
          <w:i/>
        </w:rPr>
        <w:t>)*</w:t>
      </w:r>
      <w:proofErr w:type="spellStart"/>
      <w:r w:rsidRPr="00506338">
        <w:rPr>
          <w:rFonts w:hint="eastAsia"/>
          <w:i/>
        </w:rPr>
        <w:t>dum_recess</w:t>
      </w:r>
      <w:proofErr w:type="spellEnd"/>
      <w:r>
        <w:t xml:space="preserve"> and </w:t>
      </w:r>
      <w:proofErr w:type="spellStart"/>
      <w:r w:rsidRPr="00506338">
        <w:rPr>
          <w:rFonts w:hint="eastAsia"/>
          <w:i/>
        </w:rPr>
        <w:t>libor</w:t>
      </w:r>
      <w:proofErr w:type="spellEnd"/>
      <w:r w:rsidRPr="00506338">
        <w:rPr>
          <w:rFonts w:hint="eastAsia"/>
          <w:i/>
        </w:rPr>
        <w:t>*</w:t>
      </w:r>
      <w:proofErr w:type="spellStart"/>
      <w:r w:rsidRPr="00506338">
        <w:rPr>
          <w:rFonts w:hint="eastAsia"/>
          <w:i/>
        </w:rPr>
        <w:t>dum_fincrisis</w:t>
      </w:r>
      <w:proofErr w:type="spellEnd"/>
      <w:r>
        <w:t xml:space="preserve">. </w:t>
      </w:r>
      <w:r w:rsidR="002B19A9">
        <w:t>The underlying variables are in order of appearance</w:t>
      </w:r>
      <w:r w:rsidR="003E24B0">
        <w:t xml:space="preserve"> </w:t>
      </w:r>
      <w:proofErr w:type="spellStart"/>
      <w:r w:rsidR="003E24B0">
        <w:t>Czechia</w:t>
      </w:r>
      <w:proofErr w:type="spellEnd"/>
      <w:r w:rsidR="002B19A9">
        <w:t xml:space="preserve"> industrial production, </w:t>
      </w:r>
      <w:proofErr w:type="spellStart"/>
      <w:r w:rsidR="003E24B0">
        <w:t>Czechia</w:t>
      </w:r>
      <w:proofErr w:type="spellEnd"/>
      <w:r w:rsidR="003E24B0">
        <w:t xml:space="preserve"> </w:t>
      </w:r>
      <w:r w:rsidR="002B19A9">
        <w:t xml:space="preserve">real GDP, 3-month Libor </w:t>
      </w:r>
      <w:proofErr w:type="gramStart"/>
      <w:r w:rsidR="002B19A9">
        <w:t>and  financial</w:t>
      </w:r>
      <w:proofErr w:type="gramEnd"/>
      <w:r w:rsidR="002B19A9">
        <w:t xml:space="preserve"> crisis dummy. Below is regression output for the equation:</w:t>
      </w:r>
      <w:r w:rsidR="003E24B0">
        <w:rPr>
          <w:rStyle w:val="FootnoteReference"/>
          <w:rFonts w:hint="eastAsia"/>
        </w:rPr>
        <w:footnoteReference w:id="1"/>
      </w:r>
    </w:p>
    <w:tbl>
      <w:tblPr>
        <w:tblW w:w="0" w:type="auto"/>
        <w:jc w:val="center"/>
        <w:tblInd w:w="30" w:type="dxa"/>
        <w:tblLayout w:type="fixed"/>
        <w:tblCellMar>
          <w:left w:w="0" w:type="dxa"/>
          <w:right w:w="0" w:type="dxa"/>
        </w:tblCellMar>
        <w:tblLook w:val="0000" w:firstRow="0" w:lastRow="0" w:firstColumn="0" w:lastColumn="0" w:noHBand="0" w:noVBand="0"/>
      </w:tblPr>
      <w:tblGrid>
        <w:gridCol w:w="2122"/>
        <w:gridCol w:w="1103"/>
        <w:gridCol w:w="1207"/>
        <w:gridCol w:w="1208"/>
        <w:gridCol w:w="997"/>
      </w:tblGrid>
      <w:tr w:rsidR="002B19A9" w:rsidRPr="002B19A9" w:rsidTr="002B19A9">
        <w:tblPrEx>
          <w:tblCellMar>
            <w:top w:w="0" w:type="dxa"/>
            <w:bottom w:w="0" w:type="dxa"/>
          </w:tblCellMar>
        </w:tblPrEx>
        <w:trPr>
          <w:trHeight w:val="225"/>
          <w:jc w:val="center"/>
        </w:trPr>
        <w:tc>
          <w:tcPr>
            <w:tcW w:w="4432" w:type="dxa"/>
            <w:gridSpan w:val="3"/>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Dependent Variable: DLOG(IP)</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val="225"/>
          <w:jc w:val="center"/>
        </w:trPr>
        <w:tc>
          <w:tcPr>
            <w:tcW w:w="4432" w:type="dxa"/>
            <w:gridSpan w:val="3"/>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Method: Least Squares</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val="225"/>
          <w:jc w:val="center"/>
        </w:trPr>
        <w:tc>
          <w:tcPr>
            <w:tcW w:w="4432" w:type="dxa"/>
            <w:gridSpan w:val="3"/>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Date: 03/13/21   Time: 14:04</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val="225"/>
          <w:jc w:val="center"/>
        </w:trPr>
        <w:tc>
          <w:tcPr>
            <w:tcW w:w="5640" w:type="dxa"/>
            <w:gridSpan w:val="4"/>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Sample (adjusted): 1999Q1 2019Q4</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val="225"/>
          <w:jc w:val="center"/>
        </w:trPr>
        <w:tc>
          <w:tcPr>
            <w:tcW w:w="5640" w:type="dxa"/>
            <w:gridSpan w:val="4"/>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Included observations: 84 after adjustments</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hRule="exact" w:val="90"/>
          <w:jc w:val="center"/>
        </w:trPr>
        <w:tc>
          <w:tcPr>
            <w:tcW w:w="2122"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hRule="exact" w:val="13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Variable</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Coefficient</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Std. Error</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t-Statistic</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Prob.  </w:t>
            </w:r>
          </w:p>
        </w:tc>
      </w:tr>
      <w:tr w:rsidR="002B19A9" w:rsidRPr="002B19A9" w:rsidTr="002B19A9">
        <w:tblPrEx>
          <w:tblCellMar>
            <w:top w:w="0" w:type="dxa"/>
            <w:bottom w:w="0" w:type="dxa"/>
          </w:tblCellMar>
        </w:tblPrEx>
        <w:trPr>
          <w:trHeight w:hRule="exact" w:val="90"/>
          <w:jc w:val="center"/>
        </w:trPr>
        <w:tc>
          <w:tcPr>
            <w:tcW w:w="2122"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hRule="exact" w:val="13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C</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0.000716</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0.002484</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0.288121</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0.7740</w:t>
            </w: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DLOG(IP(-1))</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0.084046</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0.097831</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0.859089</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0.3929</w:t>
            </w: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DLOG(GDP)</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1.046453</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0.270837</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3.863774</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0.0002</w:t>
            </w: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LIBOR*DUM_FINCRISIS</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-0.017057</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0.006197</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-2.752421</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0.0073</w:t>
            </w:r>
          </w:p>
        </w:tc>
      </w:tr>
      <w:tr w:rsidR="002B19A9" w:rsidRPr="002B19A9" w:rsidTr="002B19A9">
        <w:tblPrEx>
          <w:tblCellMar>
            <w:top w:w="0" w:type="dxa"/>
            <w:bottom w:w="0" w:type="dxa"/>
          </w:tblCellMar>
        </w:tblPrEx>
        <w:trPr>
          <w:trHeight w:hRule="exact" w:val="90"/>
          <w:jc w:val="center"/>
        </w:trPr>
        <w:tc>
          <w:tcPr>
            <w:tcW w:w="2122"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hRule="exact" w:val="13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R-squared</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0.450446</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xml:space="preserve">    Mean dependent </w:t>
            </w:r>
            <w:proofErr w:type="spellStart"/>
            <w:r w:rsidRPr="002B19A9">
              <w:rPr>
                <w:rFonts w:ascii="Arial" w:eastAsiaTheme="minorHAnsi" w:hAnsi="Arial"/>
                <w:color w:val="000000"/>
                <w:kern w:val="0"/>
                <w:sz w:val="18"/>
                <w:szCs w:val="18"/>
                <w:lang w:eastAsia="en-US" w:bidi="ar-SA"/>
              </w:rPr>
              <w:t>var</w:t>
            </w:r>
            <w:proofErr w:type="spellEnd"/>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0.007765</w:t>
            </w: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Adjusted R-squared</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0.429838</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xml:space="preserve">    S.D. dependent </w:t>
            </w:r>
            <w:proofErr w:type="spellStart"/>
            <w:r w:rsidRPr="002B19A9">
              <w:rPr>
                <w:rFonts w:ascii="Arial" w:eastAsiaTheme="minorHAnsi" w:hAnsi="Arial"/>
                <w:color w:val="000000"/>
                <w:kern w:val="0"/>
                <w:sz w:val="18"/>
                <w:szCs w:val="18"/>
                <w:lang w:eastAsia="en-US" w:bidi="ar-SA"/>
              </w:rPr>
              <w:t>var</w:t>
            </w:r>
            <w:proofErr w:type="spellEnd"/>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0.020319</w:t>
            </w: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S.E. of regression</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0.015343</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w:t>
            </w:r>
            <w:proofErr w:type="spellStart"/>
            <w:r w:rsidRPr="002B19A9">
              <w:rPr>
                <w:rFonts w:ascii="Arial" w:eastAsiaTheme="minorHAnsi" w:hAnsi="Arial"/>
                <w:color w:val="000000"/>
                <w:kern w:val="0"/>
                <w:sz w:val="18"/>
                <w:szCs w:val="18"/>
                <w:lang w:eastAsia="en-US" w:bidi="ar-SA"/>
              </w:rPr>
              <w:t>Akaike</w:t>
            </w:r>
            <w:proofErr w:type="spellEnd"/>
            <w:r w:rsidRPr="002B19A9">
              <w:rPr>
                <w:rFonts w:ascii="Arial" w:eastAsiaTheme="minorHAnsi" w:hAnsi="Arial"/>
                <w:color w:val="000000"/>
                <w:kern w:val="0"/>
                <w:sz w:val="18"/>
                <w:szCs w:val="18"/>
                <w:lang w:eastAsia="en-US" w:bidi="ar-SA"/>
              </w:rPr>
              <w:t xml:space="preserve"> info criterion</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-5.469919</w:t>
            </w: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xml:space="preserve">Sum squared </w:t>
            </w:r>
            <w:proofErr w:type="spellStart"/>
            <w:r w:rsidRPr="002B19A9">
              <w:rPr>
                <w:rFonts w:ascii="Arial" w:eastAsiaTheme="minorHAnsi" w:hAnsi="Arial"/>
                <w:color w:val="000000"/>
                <w:kern w:val="0"/>
                <w:sz w:val="18"/>
                <w:szCs w:val="18"/>
                <w:lang w:eastAsia="en-US" w:bidi="ar-SA"/>
              </w:rPr>
              <w:t>resid</w:t>
            </w:r>
            <w:proofErr w:type="spellEnd"/>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0.018832</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Schwarz criterion</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-5.354165</w:t>
            </w: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Log likelihood</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233.7366</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w:t>
            </w:r>
            <w:proofErr w:type="spellStart"/>
            <w:r w:rsidRPr="002B19A9">
              <w:rPr>
                <w:rFonts w:ascii="Arial" w:eastAsiaTheme="minorHAnsi" w:hAnsi="Arial"/>
                <w:color w:val="000000"/>
                <w:kern w:val="0"/>
                <w:sz w:val="18"/>
                <w:szCs w:val="18"/>
                <w:lang w:eastAsia="en-US" w:bidi="ar-SA"/>
              </w:rPr>
              <w:t>Hannan</w:t>
            </w:r>
            <w:proofErr w:type="spellEnd"/>
            <w:r w:rsidRPr="002B19A9">
              <w:rPr>
                <w:rFonts w:ascii="Arial" w:eastAsiaTheme="minorHAnsi" w:hAnsi="Arial"/>
                <w:color w:val="000000"/>
                <w:kern w:val="0"/>
                <w:sz w:val="18"/>
                <w:szCs w:val="18"/>
                <w:lang w:eastAsia="en-US" w:bidi="ar-SA"/>
              </w:rPr>
              <w:t xml:space="preserve">-Quinn </w:t>
            </w:r>
            <w:proofErr w:type="spellStart"/>
            <w:r w:rsidRPr="002B19A9">
              <w:rPr>
                <w:rFonts w:ascii="Arial" w:eastAsiaTheme="minorHAnsi" w:hAnsi="Arial"/>
                <w:color w:val="000000"/>
                <w:kern w:val="0"/>
                <w:sz w:val="18"/>
                <w:szCs w:val="18"/>
                <w:lang w:eastAsia="en-US" w:bidi="ar-SA"/>
              </w:rPr>
              <w:t>criter</w:t>
            </w:r>
            <w:proofErr w:type="spellEnd"/>
            <w:r w:rsidRPr="002B19A9">
              <w:rPr>
                <w:rFonts w:ascii="Arial" w:eastAsiaTheme="minorHAnsi" w:hAnsi="Arial"/>
                <w:color w:val="000000"/>
                <w:kern w:val="0"/>
                <w:sz w:val="18"/>
                <w:szCs w:val="18"/>
                <w:lang w:eastAsia="en-US" w:bidi="ar-SA"/>
              </w:rPr>
              <w:t>.</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-5.423387</w:t>
            </w: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F-statistic</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21.85757</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Durbin-Watson stat</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1.763775</w:t>
            </w:r>
          </w:p>
        </w:tc>
      </w:tr>
      <w:tr w:rsidR="002B19A9" w:rsidRPr="002B19A9" w:rsidTr="002B19A9">
        <w:tblPrEx>
          <w:tblCellMar>
            <w:top w:w="0" w:type="dxa"/>
            <w:bottom w:w="0" w:type="dxa"/>
          </w:tblCellMar>
        </w:tblPrEx>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proofErr w:type="spellStart"/>
            <w:r w:rsidRPr="002B19A9">
              <w:rPr>
                <w:rFonts w:ascii="Arial" w:eastAsiaTheme="minorHAnsi" w:hAnsi="Arial"/>
                <w:color w:val="000000"/>
                <w:kern w:val="0"/>
                <w:sz w:val="18"/>
                <w:szCs w:val="18"/>
                <w:lang w:eastAsia="en-US" w:bidi="ar-SA"/>
              </w:rPr>
              <w:t>Prob</w:t>
            </w:r>
            <w:proofErr w:type="spellEnd"/>
            <w:r w:rsidRPr="002B19A9">
              <w:rPr>
                <w:rFonts w:ascii="Arial" w:eastAsiaTheme="minorHAnsi" w:hAnsi="Arial"/>
                <w:color w:val="000000"/>
                <w:kern w:val="0"/>
                <w:sz w:val="18"/>
                <w:szCs w:val="18"/>
                <w:lang w:eastAsia="en-US" w:bidi="ar-SA"/>
              </w:rPr>
              <w:t>(F-statistic)</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0.000000</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hRule="exact" w:val="90"/>
          <w:jc w:val="center"/>
        </w:trPr>
        <w:tc>
          <w:tcPr>
            <w:tcW w:w="2122" w:type="dxa"/>
            <w:tcBorders>
              <w:top w:val="nil"/>
              <w:left w:val="nil"/>
              <w:bottom w:val="double" w:sz="6" w:space="0"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double" w:sz="6" w:space="0"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double" w:sz="6" w:space="0"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double" w:sz="6" w:space="0"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double" w:sz="6" w:space="0"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blPrEx>
          <w:tblCellMar>
            <w:top w:w="0" w:type="dxa"/>
            <w:bottom w:w="0" w:type="dxa"/>
          </w:tblCellMar>
        </w:tblPrEx>
        <w:trPr>
          <w:trHeight w:hRule="exact" w:val="13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bl>
    <w:p w:rsidR="008F37E6" w:rsidRDefault="008F37E6" w:rsidP="002B19A9">
      <w:pPr>
        <w:spacing w:before="120"/>
        <w:ind w:left="706"/>
      </w:pPr>
      <w:r>
        <w:t xml:space="preserve">The </w:t>
      </w:r>
      <w:r w:rsidR="00506338">
        <w:t>add-in can be used for three related but distinct types of forecast decomposition:</w:t>
      </w:r>
    </w:p>
    <w:p w:rsidR="00506338" w:rsidRDefault="00506338" w:rsidP="00506338">
      <w:pPr>
        <w:pStyle w:val="ListParagraph"/>
        <w:numPr>
          <w:ilvl w:val="0"/>
          <w:numId w:val="1"/>
        </w:numPr>
      </w:pPr>
      <w:r>
        <w:t>Decomposition of forecast in historical sample</w:t>
      </w:r>
    </w:p>
    <w:p w:rsidR="00506338" w:rsidRDefault="00506338" w:rsidP="00506338">
      <w:pPr>
        <w:pStyle w:val="ListParagraph"/>
        <w:numPr>
          <w:ilvl w:val="0"/>
          <w:numId w:val="1"/>
        </w:numPr>
      </w:pPr>
      <w:r>
        <w:t>Decomposition of scenario forecast</w:t>
      </w:r>
    </w:p>
    <w:p w:rsidR="00506338" w:rsidRDefault="00506338" w:rsidP="00506338">
      <w:pPr>
        <w:pStyle w:val="ListParagraph"/>
        <w:numPr>
          <w:ilvl w:val="0"/>
          <w:numId w:val="1"/>
        </w:numPr>
        <w:spacing w:after="120"/>
        <w:ind w:left="1426"/>
      </w:pPr>
      <w:r>
        <w:t>Decomposition of difference between two scenario forecasts</w:t>
      </w:r>
    </w:p>
    <w:p w:rsidR="00506338" w:rsidRDefault="00506338" w:rsidP="00506338">
      <w:pPr>
        <w:pStyle w:val="NoSpacing"/>
      </w:pPr>
      <w:r>
        <w:t xml:space="preserve">The three decompositions are achieved by different settings for the ‘scenarios’ option and are discussed in </w:t>
      </w:r>
      <w:r w:rsidR="002B19A9">
        <w:t>turn</w:t>
      </w:r>
      <w:r>
        <w:t>.</w:t>
      </w:r>
    </w:p>
    <w:p w:rsidR="00506338" w:rsidRDefault="00506338" w:rsidP="00506338">
      <w:pPr>
        <w:pStyle w:val="NoSpacing"/>
      </w:pPr>
      <w:r>
        <w:t>If the options ‘scenarios’ is left empty then add-in will use actual historical series (i.e. series without alias) for the decomposition. Consider following add-in execution from the equation:</w:t>
      </w:r>
    </w:p>
    <w:p w:rsidR="00506338" w:rsidRPr="00506338" w:rsidRDefault="00506338" w:rsidP="00506338">
      <w:pPr>
        <w:pStyle w:val="Standard"/>
        <w:spacing w:before="120" w:after="120"/>
        <w:ind w:left="1411"/>
        <w:rPr>
          <w:rFonts w:ascii="Courier New" w:hAnsi="Courier New"/>
        </w:rPr>
      </w:pPr>
      <w:proofErr w:type="spellStart"/>
      <w:proofErr w:type="gramStart"/>
      <w:r w:rsidRPr="00506338">
        <w:rPr>
          <w:rFonts w:ascii="Courier New" w:hAnsi="Courier New" w:hint="eastAsia"/>
        </w:rPr>
        <w:t>eq.fcastdecomp</w:t>
      </w:r>
      <w:proofErr w:type="spellEnd"/>
      <w:r w:rsidRPr="00506338">
        <w:rPr>
          <w:rFonts w:ascii="Courier New" w:hAnsi="Courier New" w:hint="eastAsia"/>
        </w:rPr>
        <w:t>(</w:t>
      </w:r>
      <w:proofErr w:type="spellStart"/>
      <w:proofErr w:type="gramEnd"/>
      <w:r w:rsidRPr="00506338">
        <w:rPr>
          <w:rFonts w:ascii="Courier New" w:hAnsi="Courier New" w:hint="eastAsia"/>
        </w:rPr>
        <w:t>noprompt</w:t>
      </w:r>
      <w:proofErr w:type="spellEnd"/>
      <w:r w:rsidRPr="00506338">
        <w:rPr>
          <w:rFonts w:ascii="Courier New" w:hAnsi="Courier New" w:hint="eastAsia"/>
        </w:rPr>
        <w:t>)</w:t>
      </w:r>
    </w:p>
    <w:p w:rsidR="00506338" w:rsidRDefault="00506338" w:rsidP="00506338">
      <w:pPr>
        <w:pStyle w:val="NoSpacing"/>
      </w:pPr>
      <w:r>
        <w:t>As a result the add-in will create following graph:</w:t>
      </w:r>
    </w:p>
    <w:p w:rsidR="00506338" w:rsidRDefault="002B19A9" w:rsidP="002B19A9">
      <w:pPr>
        <w:pStyle w:val="NoSpacing"/>
        <w:jc w:val="center"/>
      </w:pPr>
      <w:r>
        <w:object w:dxaOrig="8761" w:dyaOrig="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27pt" o:ole="">
            <v:imagedata r:id="rId8" o:title=""/>
          </v:shape>
          <o:OLEObject Type="Embed" ProgID="Unknown" ShapeID="_x0000_i1025" DrawAspect="Content" ObjectID="_1677154125" r:id="rId9"/>
        </w:object>
      </w:r>
    </w:p>
    <w:p w:rsidR="002B19A9" w:rsidRDefault="002B19A9" w:rsidP="002B19A9">
      <w:pPr>
        <w:pStyle w:val="NoSpacing"/>
      </w:pPr>
      <w:r>
        <w:t>The graph contains 5 series: one showing the dependent variable, and 4 showing the forecast drivers. The orange line captures the effect of constant and of course does not feature any variability, and it acts only as level shift for the forecast. Meanwhile, the remaining drivers vary over time, even though the last driver shows variance only in one period (2008-2009). Importantly, the individual repressors are multiplie</w:t>
      </w:r>
      <w:r>
        <w:rPr>
          <w:rFonts w:hint="eastAsia"/>
        </w:rPr>
        <w:t>d</w:t>
      </w:r>
      <w:r>
        <w:t xml:space="preserve"> by the associated coefficients so that all series have the same scale irrespective of the units of the underlying variable.</w:t>
      </w:r>
    </w:p>
    <w:p w:rsidR="002B19A9" w:rsidRPr="002B19A9" w:rsidRDefault="002B19A9" w:rsidP="002B19A9">
      <w:pPr>
        <w:pStyle w:val="NoSpacing"/>
      </w:pPr>
      <w:r>
        <w:t xml:space="preserve">In terms of interpretation, the forecast driver graph shows that the driver corresponding to lagged dependent variable </w:t>
      </w:r>
      <w:r w:rsidR="0001065B">
        <w:t>copies the dependent variable with one period delay, as expected, but has much lower volatility so that its influenc</w:t>
      </w:r>
      <w:r w:rsidR="0001065B">
        <w:rPr>
          <w:rFonts w:hint="eastAsia"/>
        </w:rPr>
        <w:t>e</w:t>
      </w:r>
      <w:r w:rsidR="0001065B">
        <w:t xml:space="preserve"> is small. This of course reflects the relative small coefficient for the </w:t>
      </w:r>
      <w:proofErr w:type="spellStart"/>
      <w:r w:rsidR="0001065B">
        <w:t>regressor</w:t>
      </w:r>
      <w:proofErr w:type="spellEnd"/>
      <w:r w:rsidR="0001065B">
        <w:t xml:space="preserve">. Meanwhile, the driver for GDP is clearly closely correlated with the dependent variable and important in terms of magnitude. Finally, while the driver for the 3-month Libor has only single period of non-zero values, it has large effect in this period that corresponds well to behavior of the dependent </w:t>
      </w:r>
      <w:proofErr w:type="spellStart"/>
      <w:r w:rsidR="0001065B">
        <w:t>varaible</w:t>
      </w:r>
      <w:proofErr w:type="spellEnd"/>
      <w:r w:rsidR="0001065B">
        <w:t>.</w:t>
      </w:r>
    </w:p>
    <w:p w:rsidR="00506338" w:rsidRDefault="00506338" w:rsidP="00506338">
      <w:pPr>
        <w:pStyle w:val="NoSpacing"/>
      </w:pPr>
      <w:r>
        <w:rPr>
          <w:rFonts w:hint="eastAsia"/>
        </w:rPr>
        <w:t>T</w:t>
      </w:r>
      <w:r>
        <w:t>he graph above has one important drawback: the series with dependent variable captures the actual historical values of the variable, i.e. it does not represent actual forecast. One can address that by</w:t>
      </w:r>
      <w:r w:rsidR="0001065B">
        <w:t xml:space="preserve"> including the sum of drivers as additional driver as follows:</w:t>
      </w:r>
    </w:p>
    <w:p w:rsidR="0001065B" w:rsidRDefault="0001065B" w:rsidP="0001065B">
      <w:pPr>
        <w:pStyle w:val="Standard"/>
        <w:spacing w:before="120" w:after="120"/>
        <w:ind w:left="1411"/>
      </w:pPr>
      <w:proofErr w:type="spellStart"/>
      <w:proofErr w:type="gramStart"/>
      <w:r w:rsidRPr="0001065B">
        <w:rPr>
          <w:rFonts w:ascii="Courier New" w:hAnsi="Courier New" w:hint="eastAsia"/>
        </w:rPr>
        <w:t>eq.fcastdecomp</w:t>
      </w:r>
      <w:proofErr w:type="spellEnd"/>
      <w:r w:rsidRPr="0001065B">
        <w:rPr>
          <w:rFonts w:ascii="Courier New" w:hAnsi="Courier New" w:hint="eastAsia"/>
        </w:rPr>
        <w:t>(</w:t>
      </w:r>
      <w:proofErr w:type="spellStart"/>
      <w:proofErr w:type="gramEnd"/>
      <w:r w:rsidRPr="0001065B">
        <w:rPr>
          <w:rFonts w:ascii="Courier New" w:hAnsi="Courier New" w:hint="eastAsia"/>
        </w:rPr>
        <w:t>include_sum</w:t>
      </w:r>
      <w:proofErr w:type="spellEnd"/>
      <w:r w:rsidRPr="0001065B">
        <w:rPr>
          <w:rFonts w:ascii="Courier New" w:hAnsi="Courier New" w:hint="eastAsia"/>
        </w:rPr>
        <w:t>="t")</w:t>
      </w:r>
    </w:p>
    <w:p w:rsidR="0001065B" w:rsidRDefault="0001065B" w:rsidP="0001065B">
      <w:pPr>
        <w:pStyle w:val="NoSpacing"/>
        <w:jc w:val="center"/>
      </w:pPr>
      <w:r>
        <w:object w:dxaOrig="8761" w:dyaOrig="7080">
          <v:shape id="_x0000_i1026" type="#_x0000_t75" style="width:438pt;height:354pt" o:ole="">
            <v:imagedata r:id="rId10" o:title=""/>
          </v:shape>
          <o:OLEObject Type="Embed" ProgID="Unknown" ShapeID="_x0000_i1026" DrawAspect="Content" ObjectID="_1677154126" r:id="rId11"/>
        </w:object>
      </w:r>
    </w:p>
    <w:p w:rsidR="008F37E6" w:rsidRDefault="008F37E6" w:rsidP="008B714F">
      <w:pPr>
        <w:ind w:left="709"/>
      </w:pPr>
    </w:p>
    <w:p w:rsidR="0001065B" w:rsidRDefault="0001065B" w:rsidP="0001065B">
      <w:pPr>
        <w:ind w:left="709"/>
      </w:pPr>
      <w:r>
        <w:t>The graph is identical as before with exceptio</w:t>
      </w:r>
      <w:r>
        <w:rPr>
          <w:rFonts w:hint="eastAsia"/>
        </w:rPr>
        <w:t>n</w:t>
      </w:r>
      <w:r>
        <w:t xml:space="preserve"> of the last series, which shows the sum of all the 4 drivers. This allows user to compare the </w:t>
      </w:r>
      <w:r w:rsidR="003A3862">
        <w:t>actual dependent variable with what the equation would forecast for it, as well as decompose that forecast into individual drivers.</w:t>
      </w:r>
    </w:p>
    <w:p w:rsidR="003A3862" w:rsidRDefault="003A3862" w:rsidP="0001065B">
      <w:pPr>
        <w:ind w:left="709"/>
      </w:pPr>
    </w:p>
    <w:p w:rsidR="008B714F" w:rsidRDefault="008B714F" w:rsidP="003A3862">
      <w:pPr>
        <w:ind w:left="709"/>
      </w:pPr>
      <w:r>
        <w:t xml:space="preserve">If single scenario is specified then the add-in creates graph decomposing </w:t>
      </w:r>
      <w:r w:rsidR="003A3862">
        <w:t xml:space="preserve">that scenario </w:t>
      </w:r>
      <w:r>
        <w:t>forecast for the dependent variable into individual forecast drivers.</w:t>
      </w:r>
      <w:r w:rsidR="003A3862">
        <w:t xml:space="preserve"> Consider following execution:</w:t>
      </w:r>
    </w:p>
    <w:p w:rsidR="003E24B0" w:rsidRDefault="003E24B0" w:rsidP="003E24B0">
      <w:pPr>
        <w:pStyle w:val="Standard"/>
        <w:spacing w:before="120" w:after="120"/>
        <w:ind w:left="1411"/>
        <w:rPr>
          <w:rFonts w:ascii="Courier New" w:hAnsi="Courier New"/>
        </w:rPr>
      </w:pPr>
      <w:proofErr w:type="spellStart"/>
      <w:proofErr w:type="gramStart"/>
      <w:r w:rsidRPr="003E24B0">
        <w:rPr>
          <w:rFonts w:ascii="Courier New" w:hAnsi="Courier New" w:hint="eastAsia"/>
        </w:rPr>
        <w:t>eq.fcastdecomp</w:t>
      </w:r>
      <w:proofErr w:type="spellEnd"/>
      <w:r w:rsidRPr="003E24B0">
        <w:rPr>
          <w:rFonts w:ascii="Courier New" w:hAnsi="Courier New" w:hint="eastAsia"/>
        </w:rPr>
        <w:t>(</w:t>
      </w:r>
      <w:proofErr w:type="gramEnd"/>
      <w:r w:rsidRPr="003E24B0">
        <w:rPr>
          <w:rFonts w:ascii="Courier New" w:hAnsi="Courier New" w:hint="eastAsia"/>
        </w:rPr>
        <w:t>scenarios="_</w:t>
      </w:r>
      <w:proofErr w:type="spellStart"/>
      <w:r w:rsidRPr="003E24B0">
        <w:rPr>
          <w:rFonts w:ascii="Courier New" w:hAnsi="Courier New" w:hint="eastAsia"/>
        </w:rPr>
        <w:t>sd</w:t>
      </w:r>
      <w:proofErr w:type="spellEnd"/>
      <w:r w:rsidRPr="003E24B0">
        <w:rPr>
          <w:rFonts w:ascii="Courier New" w:hAnsi="Courier New" w:hint="eastAsia"/>
        </w:rPr>
        <w:t>",sample="2020q1 2025q4")</w:t>
      </w:r>
    </w:p>
    <w:p w:rsidR="003E24B0" w:rsidRPr="003E24B0" w:rsidRDefault="003E24B0" w:rsidP="003E24B0">
      <w:pPr>
        <w:pStyle w:val="NoSpacing"/>
      </w:pPr>
      <w:r>
        <w:t>The resulting forecast decomposition graph is below. The graph again includes 5 series – one for dependent variable and 4 forecast drivers – but this time around the values corresponding to values under scenarios ‘_</w:t>
      </w:r>
      <w:proofErr w:type="spellStart"/>
      <w:r>
        <w:t>sd</w:t>
      </w:r>
      <w:proofErr w:type="spellEnd"/>
      <w:r>
        <w:t xml:space="preserve">’. The graph shows that the log-difference of industrial production is in beginning very negative, but then it turns positive before settling at normal values. This of course corresponds to deep recession and following </w:t>
      </w:r>
      <w:r w:rsidR="008C363B">
        <w:t>recovery, reflecting the fact that the ‘SD’ scenario is downside scenario. The constant again does not add any variation to the forecast, while the drier corresponding to lagged dependent variable again copies the dependent variable and again features relatively little variation. The two major sources of variation in the forecast are the drivers 2 and 3. The dependent variable most closely follows the second driver, but the correspondence is far from exact. In first few quarters the third driver exerts large influence on the forecast. Meanwhil</w:t>
      </w:r>
      <w:r w:rsidR="008C363B">
        <w:rPr>
          <w:rFonts w:hint="eastAsia"/>
        </w:rPr>
        <w:t>e</w:t>
      </w:r>
      <w:r w:rsidR="008C363B">
        <w:t>, throughou</w:t>
      </w:r>
      <w:r w:rsidR="008C363B">
        <w:rPr>
          <w:rFonts w:hint="eastAsia"/>
        </w:rPr>
        <w:t>t</w:t>
      </w:r>
      <w:r w:rsidR="008C363B">
        <w:t xml:space="preserve"> the forecast the period effects of the second and third drivers is propagated into future periods though the effect on lagged dependent variable.</w:t>
      </w:r>
    </w:p>
    <w:p w:rsidR="003E24B0" w:rsidRDefault="008C363B" w:rsidP="003A3862">
      <w:pPr>
        <w:ind w:left="709"/>
      </w:pPr>
      <w:r>
        <w:object w:dxaOrig="8761" w:dyaOrig="7155">
          <v:shape id="_x0000_i1027" type="#_x0000_t75" style="width:438pt;height:357.75pt" o:ole="">
            <v:imagedata r:id="rId12" o:title=""/>
          </v:shape>
          <o:OLEObject Type="Embed" ProgID="Unknown" ShapeID="_x0000_i1027" DrawAspect="Content" ObjectID="_1677154127" r:id="rId13"/>
        </w:object>
      </w:r>
    </w:p>
    <w:p w:rsidR="00506338" w:rsidRDefault="00506338" w:rsidP="008B714F">
      <w:pPr>
        <w:ind w:left="709"/>
      </w:pPr>
    </w:p>
    <w:p w:rsidR="003A3862" w:rsidRDefault="003A3862" w:rsidP="00506338">
      <w:pPr>
        <w:ind w:left="709"/>
      </w:pPr>
    </w:p>
    <w:p w:rsidR="003A3862" w:rsidRDefault="008C363B" w:rsidP="00506338">
      <w:pPr>
        <w:ind w:left="709"/>
      </w:pPr>
      <w:r>
        <w:t xml:space="preserve">Finally, if </w:t>
      </w:r>
      <w:r w:rsidR="00ED12AD">
        <w:t>user specifies 2 scenarios the add-in will create forecast decomposition difference graph, subtracting the forecast drivers values based on of second scenario from values based on first scenario. Consider following execution:</w:t>
      </w:r>
    </w:p>
    <w:p w:rsidR="00ED12AD" w:rsidRDefault="00ED12AD" w:rsidP="00ED12AD">
      <w:pPr>
        <w:pStyle w:val="Standard"/>
        <w:spacing w:before="120" w:after="120"/>
        <w:ind w:left="1411"/>
        <w:rPr>
          <w:rFonts w:ascii="Courier New" w:hAnsi="Courier New"/>
        </w:rPr>
      </w:pPr>
      <w:proofErr w:type="spellStart"/>
      <w:proofErr w:type="gramStart"/>
      <w:r w:rsidRPr="00ED12AD">
        <w:rPr>
          <w:rFonts w:ascii="Courier New" w:hAnsi="Courier New" w:hint="eastAsia"/>
        </w:rPr>
        <w:t>eq.fcastdecomp</w:t>
      </w:r>
      <w:proofErr w:type="spellEnd"/>
      <w:r w:rsidRPr="00ED12AD">
        <w:rPr>
          <w:rFonts w:ascii="Courier New" w:hAnsi="Courier New" w:hint="eastAsia"/>
        </w:rPr>
        <w:t>(</w:t>
      </w:r>
      <w:proofErr w:type="gramEnd"/>
      <w:r w:rsidRPr="00ED12AD">
        <w:rPr>
          <w:rFonts w:ascii="Courier New" w:hAnsi="Courier New" w:hint="eastAsia"/>
        </w:rPr>
        <w:t>scenarios="_</w:t>
      </w:r>
      <w:proofErr w:type="spellStart"/>
      <w:r w:rsidRPr="00ED12AD">
        <w:rPr>
          <w:rFonts w:ascii="Courier New" w:hAnsi="Courier New" w:hint="eastAsia"/>
        </w:rPr>
        <w:t>sd</w:t>
      </w:r>
      <w:proofErr w:type="spellEnd"/>
      <w:r w:rsidRPr="00ED12AD">
        <w:rPr>
          <w:rFonts w:ascii="Courier New" w:hAnsi="Courier New" w:hint="eastAsia"/>
        </w:rPr>
        <w:t xml:space="preserve"> _</w:t>
      </w:r>
      <w:proofErr w:type="spellStart"/>
      <w:r w:rsidRPr="00ED12AD">
        <w:rPr>
          <w:rFonts w:ascii="Courier New" w:hAnsi="Courier New" w:hint="eastAsia"/>
        </w:rPr>
        <w:t>bl</w:t>
      </w:r>
      <w:proofErr w:type="spellEnd"/>
      <w:r w:rsidRPr="00ED12AD">
        <w:rPr>
          <w:rFonts w:ascii="Courier New" w:hAnsi="Courier New" w:hint="eastAsia"/>
        </w:rPr>
        <w:t>",sample="2020q1 2025q4")</w:t>
      </w:r>
    </w:p>
    <w:p w:rsidR="00ED12AD" w:rsidRPr="00ED12AD" w:rsidRDefault="00ED12AD" w:rsidP="00ED12AD">
      <w:pPr>
        <w:pStyle w:val="NoSpacing"/>
      </w:pPr>
      <w:r>
        <w:t xml:space="preserve">The resulting forecast difference decomposition graph is below. The </w:t>
      </w:r>
      <w:proofErr w:type="gramStart"/>
      <w:r>
        <w:t>As</w:t>
      </w:r>
      <w:proofErr w:type="gramEnd"/>
      <w:r>
        <w:t xml:space="preserve"> before, the first series corresponds to dependent variable. But this time around the series displays difference between values of dependent variable under the ‘_</w:t>
      </w:r>
      <w:proofErr w:type="spellStart"/>
      <w:r>
        <w:t>sd</w:t>
      </w:r>
      <w:proofErr w:type="spellEnd"/>
      <w:r>
        <w:t>’ scenario and the ‘_</w:t>
      </w:r>
      <w:proofErr w:type="spellStart"/>
      <w:r>
        <w:t>bl</w:t>
      </w:r>
      <w:proofErr w:type="spellEnd"/>
      <w:r>
        <w:t>’ scenario. While the profile is fairly similar – reflecting the fact the under the ’_</w:t>
      </w:r>
      <w:proofErr w:type="spellStart"/>
      <w:r>
        <w:t>bl</w:t>
      </w:r>
      <w:proofErr w:type="spellEnd"/>
      <w:r>
        <w:t>’ scenario the forecast does not feature much variation – the level is shifted downwards – reflecting the fact that the log-differenc</w:t>
      </w:r>
      <w:r>
        <w:rPr>
          <w:rFonts w:hint="eastAsia"/>
        </w:rPr>
        <w:t>e</w:t>
      </w:r>
      <w:r>
        <w:t xml:space="preserve"> is positive </w:t>
      </w:r>
      <w:proofErr w:type="gramStart"/>
      <w:r>
        <w:t>under  ‘</w:t>
      </w:r>
      <w:proofErr w:type="gramEnd"/>
      <w:r>
        <w:t>_</w:t>
      </w:r>
      <w:proofErr w:type="spellStart"/>
      <w:r>
        <w:t>bl</w:t>
      </w:r>
      <w:proofErr w:type="spellEnd"/>
      <w:r>
        <w:t xml:space="preserve">’ scenario. </w:t>
      </w:r>
      <w:r w:rsidR="004C0A5D">
        <w:t>Therefore, the series displays the differences for the dependent variable under the two scenarios. The same applies to the three drivers.</w:t>
      </w:r>
      <w:r w:rsidR="004C0A5D">
        <w:rPr>
          <w:rStyle w:val="FootnoteReference"/>
          <w:rFonts w:hint="eastAsia"/>
        </w:rPr>
        <w:footnoteReference w:id="2"/>
      </w:r>
      <w:r w:rsidR="004C0A5D">
        <w:t xml:space="preserve"> Hence the forecast difference decomposition graph decomposes the difference in values of dependent variable in two scenarios into differences between values of the individual drivers/</w:t>
      </w:r>
      <w:proofErr w:type="spellStart"/>
      <w:r w:rsidR="004C0A5D">
        <w:t>regressors</w:t>
      </w:r>
      <w:proofErr w:type="spellEnd"/>
      <w:r w:rsidR="004C0A5D">
        <w:t xml:space="preserve">. This is especially useful in situation when the base scenario features lot of variation in either the dependent variable or the </w:t>
      </w:r>
      <w:proofErr w:type="spellStart"/>
      <w:r w:rsidR="004C0A5D">
        <w:t>regressors</w:t>
      </w:r>
      <w:proofErr w:type="spellEnd"/>
      <w:r w:rsidR="004C0A5D">
        <w:t xml:space="preserve"> which complicate the analysis of single scenario forecast.</w:t>
      </w:r>
    </w:p>
    <w:p w:rsidR="00ED12AD" w:rsidRDefault="00ED12AD" w:rsidP="00506338">
      <w:pPr>
        <w:ind w:left="709"/>
      </w:pPr>
      <w:r>
        <w:object w:dxaOrig="8850" w:dyaOrig="6810">
          <v:shape id="_x0000_i1028" type="#_x0000_t75" style="width:442.5pt;height:340.5pt" o:ole="">
            <v:imagedata r:id="rId14" o:title=""/>
          </v:shape>
          <o:OLEObject Type="Embed" ProgID="Unknown" ShapeID="_x0000_i1028" DrawAspect="Content" ObjectID="_1677154128" r:id="rId15"/>
        </w:object>
      </w:r>
    </w:p>
    <w:p w:rsidR="003A3862" w:rsidRDefault="003A3862" w:rsidP="00506338">
      <w:pPr>
        <w:ind w:left="709"/>
      </w:pPr>
    </w:p>
    <w:p w:rsidR="007D7087" w:rsidRDefault="00506338" w:rsidP="00196167">
      <w:pPr>
        <w:pStyle w:val="NoSpacing"/>
      </w:pPr>
      <w:r>
        <w:t xml:space="preserve">Apart from the forecast decomposition graph the add-in can also store the table that contains list of the included drivers, both in standalone form </w:t>
      </w:r>
      <w:r w:rsidR="00196167">
        <w:t xml:space="preserve">(second column) </w:t>
      </w:r>
      <w:r>
        <w:t>and in difference form</w:t>
      </w:r>
      <w:r w:rsidR="00196167">
        <w:t xml:space="preserve"> (third column) – see table below.</w:t>
      </w:r>
      <w:r>
        <w:t xml:space="preserve"> This information can be further leveraged in custom decompositions.</w:t>
      </w:r>
    </w:p>
    <w:p w:rsidR="00196167" w:rsidRPr="00196167" w:rsidRDefault="00196167" w:rsidP="00196167">
      <w:pPr>
        <w:widowControl/>
        <w:suppressAutoHyphens w:val="0"/>
        <w:autoSpaceDE w:val="0"/>
        <w:adjustRightInd w:val="0"/>
        <w:textAlignment w:val="auto"/>
        <w:rPr>
          <w:rFonts w:ascii="Arial" w:eastAsiaTheme="minorHAnsi" w:hAnsi="Arial"/>
          <w:kern w:val="0"/>
          <w:sz w:val="18"/>
          <w:szCs w:val="18"/>
          <w:lang w:eastAsia="en-US" w:bidi="ar-SA"/>
        </w:rPr>
      </w:pPr>
    </w:p>
    <w:tbl>
      <w:tblPr>
        <w:tblW w:w="9225" w:type="dxa"/>
        <w:tblInd w:w="720" w:type="dxa"/>
        <w:tblLayout w:type="fixed"/>
        <w:tblCellMar>
          <w:left w:w="0" w:type="dxa"/>
          <w:right w:w="0" w:type="dxa"/>
        </w:tblCellMar>
        <w:tblLook w:val="0000" w:firstRow="0" w:lastRow="0" w:firstColumn="0" w:lastColumn="0" w:noHBand="0" w:noVBand="0"/>
      </w:tblPr>
      <w:tblGrid>
        <w:gridCol w:w="990"/>
        <w:gridCol w:w="3960"/>
        <w:gridCol w:w="4275"/>
      </w:tblGrid>
      <w:tr w:rsidR="00196167" w:rsidRPr="00196167" w:rsidTr="00196167">
        <w:tblPrEx>
          <w:tblCellMar>
            <w:top w:w="0" w:type="dxa"/>
            <w:bottom w:w="0" w:type="dxa"/>
          </w:tblCellMar>
        </w:tblPrEx>
        <w:trPr>
          <w:trHeight w:val="225"/>
        </w:trPr>
        <w:tc>
          <w:tcPr>
            <w:tcW w:w="990" w:type="dxa"/>
            <w:tcBorders>
              <w:top w:val="single" w:sz="4" w:space="0" w:color="auto"/>
              <w:left w:val="single" w:sz="4" w:space="0" w:color="auto"/>
              <w:bottom w:val="single" w:sz="4" w:space="0" w:color="auto"/>
              <w:right w:val="single" w:sz="4" w:space="0" w:color="auto"/>
            </w:tcBorders>
            <w:vAlign w:val="bottom"/>
          </w:tcPr>
          <w:p w:rsidR="00196167" w:rsidRPr="00196167" w:rsidRDefault="00196167" w:rsidP="00196167">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b/>
                <w:bCs/>
                <w:color w:val="000000"/>
                <w:kern w:val="0"/>
                <w:sz w:val="18"/>
                <w:szCs w:val="18"/>
                <w:lang w:eastAsia="en-US" w:bidi="ar-SA"/>
              </w:rPr>
              <w:t xml:space="preserve">Driver </w:t>
            </w:r>
            <w:r>
              <w:rPr>
                <w:rFonts w:ascii="Arial" w:eastAsiaTheme="minorHAnsi" w:hAnsi="Arial"/>
                <w:b/>
                <w:bCs/>
                <w:color w:val="000000"/>
                <w:kern w:val="0"/>
                <w:sz w:val="18"/>
                <w:szCs w:val="18"/>
                <w:lang w:eastAsia="en-US" w:bidi="ar-SA"/>
              </w:rPr>
              <w:t>#</w:t>
            </w:r>
          </w:p>
        </w:tc>
        <w:tc>
          <w:tcPr>
            <w:tcW w:w="3960" w:type="dxa"/>
            <w:tcBorders>
              <w:top w:val="single" w:sz="4" w:space="0" w:color="auto"/>
              <w:left w:val="single" w:sz="4" w:space="0" w:color="auto"/>
              <w:bottom w:val="single" w:sz="4" w:space="0" w:color="auto"/>
              <w:right w:val="single" w:sz="4" w:space="0" w:color="auto"/>
            </w:tcBorders>
            <w:vAlign w:val="bottom"/>
          </w:tcPr>
          <w:p w:rsidR="00196167" w:rsidRPr="00196167" w:rsidRDefault="00196167" w:rsidP="00196167">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b/>
                <w:bCs/>
                <w:color w:val="000000"/>
                <w:kern w:val="0"/>
                <w:sz w:val="18"/>
                <w:szCs w:val="18"/>
                <w:lang w:eastAsia="en-US" w:bidi="ar-SA"/>
              </w:rPr>
              <w:t>Stand-alone driver</w:t>
            </w:r>
          </w:p>
        </w:tc>
        <w:tc>
          <w:tcPr>
            <w:tcW w:w="4275" w:type="dxa"/>
            <w:tcBorders>
              <w:top w:val="single" w:sz="4" w:space="0" w:color="auto"/>
              <w:left w:val="single" w:sz="4" w:space="0" w:color="auto"/>
              <w:bottom w:val="single" w:sz="4" w:space="0" w:color="auto"/>
              <w:right w:val="single" w:sz="4" w:space="0" w:color="auto"/>
            </w:tcBorders>
            <w:vAlign w:val="bottom"/>
          </w:tcPr>
          <w:p w:rsidR="00196167" w:rsidRPr="00196167" w:rsidRDefault="00196167" w:rsidP="00196167">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b/>
                <w:bCs/>
                <w:color w:val="000000"/>
                <w:kern w:val="0"/>
                <w:sz w:val="18"/>
                <w:szCs w:val="18"/>
                <w:lang w:eastAsia="en-US" w:bidi="ar-SA"/>
              </w:rPr>
              <w:t>Difference driver</w:t>
            </w:r>
          </w:p>
        </w:tc>
      </w:tr>
      <w:tr w:rsidR="00196167" w:rsidRPr="00196167" w:rsidTr="004E7A99">
        <w:tblPrEx>
          <w:tblCellMar>
            <w:top w:w="0" w:type="dxa"/>
            <w:bottom w:w="0" w:type="dxa"/>
          </w:tblCellMar>
        </w:tblPrEx>
        <w:trPr>
          <w:trHeight w:val="225"/>
        </w:trPr>
        <w:tc>
          <w:tcPr>
            <w:tcW w:w="990" w:type="dxa"/>
            <w:tcBorders>
              <w:top w:val="single" w:sz="4" w:space="0" w:color="auto"/>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DV</w:t>
            </w:r>
          </w:p>
        </w:tc>
        <w:tc>
          <w:tcPr>
            <w:tcW w:w="3960" w:type="dxa"/>
            <w:tcBorders>
              <w:top w:val="single" w:sz="4" w:space="0" w:color="auto"/>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DLOG(</w:t>
            </w:r>
            <w:proofErr w:type="spellStart"/>
            <w:r w:rsidRPr="00196167">
              <w:rPr>
                <w:rFonts w:ascii="Arial" w:eastAsiaTheme="minorHAnsi" w:hAnsi="Arial"/>
                <w:color w:val="000000"/>
                <w:kern w:val="0"/>
                <w:sz w:val="18"/>
                <w:szCs w:val="18"/>
                <w:lang w:eastAsia="en-US" w:bidi="ar-SA"/>
              </w:rPr>
              <w:t>IP_salias</w:t>
            </w:r>
            <w:proofErr w:type="spellEnd"/>
            <w:r w:rsidRPr="00196167">
              <w:rPr>
                <w:rFonts w:ascii="Arial" w:eastAsiaTheme="minorHAnsi" w:hAnsi="Arial"/>
                <w:color w:val="000000"/>
                <w:kern w:val="0"/>
                <w:sz w:val="18"/>
                <w:szCs w:val="18"/>
                <w:lang w:eastAsia="en-US" w:bidi="ar-SA"/>
              </w:rPr>
              <w:t>)</w:t>
            </w:r>
          </w:p>
        </w:tc>
        <w:tc>
          <w:tcPr>
            <w:tcW w:w="4275" w:type="dxa"/>
            <w:tcBorders>
              <w:top w:val="single" w:sz="4" w:space="0" w:color="auto"/>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DLOG(IP_salias1)-(DLOG(IP_salias2))</w:t>
            </w:r>
          </w:p>
        </w:tc>
      </w:tr>
      <w:tr w:rsidR="00196167" w:rsidRPr="00196167" w:rsidTr="004E7A99">
        <w:tblPrEx>
          <w:tblCellMar>
            <w:top w:w="0" w:type="dxa"/>
            <w:bottom w:w="0" w:type="dxa"/>
          </w:tblCellMar>
        </w:tblPrEx>
        <w:trPr>
          <w:trHeight w:val="225"/>
        </w:trPr>
        <w:tc>
          <w:tcPr>
            <w:tcW w:w="99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w:t>
            </w:r>
          </w:p>
        </w:tc>
        <w:tc>
          <w:tcPr>
            <w:tcW w:w="396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0.00072</w:t>
            </w:r>
          </w:p>
        </w:tc>
        <w:tc>
          <w:tcPr>
            <w:tcW w:w="4275"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196167" w:rsidRPr="00196167" w:rsidTr="004E7A99">
        <w:tblPrEx>
          <w:tblCellMar>
            <w:top w:w="0" w:type="dxa"/>
            <w:bottom w:w="0" w:type="dxa"/>
          </w:tblCellMar>
        </w:tblPrEx>
        <w:trPr>
          <w:trHeight w:val="225"/>
        </w:trPr>
        <w:tc>
          <w:tcPr>
            <w:tcW w:w="99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1</w:t>
            </w:r>
          </w:p>
        </w:tc>
        <w:tc>
          <w:tcPr>
            <w:tcW w:w="396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0.084*(DLOG(</w:t>
            </w:r>
            <w:proofErr w:type="spellStart"/>
            <w:r w:rsidRPr="00196167">
              <w:rPr>
                <w:rFonts w:ascii="Arial" w:eastAsiaTheme="minorHAnsi" w:hAnsi="Arial"/>
                <w:color w:val="000000"/>
                <w:kern w:val="0"/>
                <w:sz w:val="18"/>
                <w:szCs w:val="18"/>
                <w:lang w:eastAsia="en-US" w:bidi="ar-SA"/>
              </w:rPr>
              <w:t>IP_salias</w:t>
            </w:r>
            <w:proofErr w:type="spellEnd"/>
            <w:r w:rsidRPr="00196167">
              <w:rPr>
                <w:rFonts w:ascii="Arial" w:eastAsiaTheme="minorHAnsi" w:hAnsi="Arial"/>
                <w:color w:val="000000"/>
                <w:kern w:val="0"/>
                <w:sz w:val="18"/>
                <w:szCs w:val="18"/>
                <w:lang w:eastAsia="en-US" w:bidi="ar-SA"/>
              </w:rPr>
              <w:t>(-1)))</w:t>
            </w:r>
          </w:p>
        </w:tc>
        <w:tc>
          <w:tcPr>
            <w:tcW w:w="4275"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0.084*(DLOG(IP_salias1(-1))-(DLOG(IP_salias2(-1))))</w:t>
            </w:r>
          </w:p>
        </w:tc>
      </w:tr>
      <w:tr w:rsidR="00196167" w:rsidRPr="00196167" w:rsidTr="004E7A99">
        <w:tblPrEx>
          <w:tblCellMar>
            <w:top w:w="0" w:type="dxa"/>
            <w:bottom w:w="0" w:type="dxa"/>
          </w:tblCellMar>
        </w:tblPrEx>
        <w:trPr>
          <w:trHeight w:val="225"/>
        </w:trPr>
        <w:tc>
          <w:tcPr>
            <w:tcW w:w="99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2</w:t>
            </w:r>
          </w:p>
        </w:tc>
        <w:tc>
          <w:tcPr>
            <w:tcW w:w="396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1.05*(DLOG(</w:t>
            </w:r>
            <w:proofErr w:type="spellStart"/>
            <w:r w:rsidRPr="00196167">
              <w:rPr>
                <w:rFonts w:ascii="Arial" w:eastAsiaTheme="minorHAnsi" w:hAnsi="Arial"/>
                <w:color w:val="000000"/>
                <w:kern w:val="0"/>
                <w:sz w:val="18"/>
                <w:szCs w:val="18"/>
                <w:lang w:eastAsia="en-US" w:bidi="ar-SA"/>
              </w:rPr>
              <w:t>GDP_salias</w:t>
            </w:r>
            <w:proofErr w:type="spellEnd"/>
            <w:r w:rsidRPr="00196167">
              <w:rPr>
                <w:rFonts w:ascii="Arial" w:eastAsiaTheme="minorHAnsi" w:hAnsi="Arial"/>
                <w:color w:val="000000"/>
                <w:kern w:val="0"/>
                <w:sz w:val="18"/>
                <w:szCs w:val="18"/>
                <w:lang w:eastAsia="en-US" w:bidi="ar-SA"/>
              </w:rPr>
              <w:t>))</w:t>
            </w:r>
          </w:p>
        </w:tc>
        <w:tc>
          <w:tcPr>
            <w:tcW w:w="4275"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1.05*(DLOG(GDP_salias1)-(DLOG(GDP_salias2)))</w:t>
            </w:r>
          </w:p>
        </w:tc>
      </w:tr>
      <w:tr w:rsidR="00196167" w:rsidRPr="00196167" w:rsidTr="004E7A99">
        <w:tblPrEx>
          <w:tblCellMar>
            <w:top w:w="0" w:type="dxa"/>
            <w:bottom w:w="0" w:type="dxa"/>
          </w:tblCellMar>
        </w:tblPrEx>
        <w:trPr>
          <w:trHeight w:val="225"/>
        </w:trPr>
        <w:tc>
          <w:tcPr>
            <w:tcW w:w="990" w:type="dxa"/>
            <w:tcBorders>
              <w:top w:val="nil"/>
              <w:left w:val="single" w:sz="4" w:space="0" w:color="auto"/>
              <w:bottom w:val="single" w:sz="4" w:space="0" w:color="auto"/>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3</w:t>
            </w:r>
          </w:p>
        </w:tc>
        <w:tc>
          <w:tcPr>
            <w:tcW w:w="3960" w:type="dxa"/>
            <w:tcBorders>
              <w:top w:val="nil"/>
              <w:left w:val="single" w:sz="4" w:space="0" w:color="auto"/>
              <w:bottom w:val="single" w:sz="4" w:space="0" w:color="auto"/>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-0.017*(</w:t>
            </w:r>
            <w:proofErr w:type="spellStart"/>
            <w:r w:rsidRPr="00196167">
              <w:rPr>
                <w:rFonts w:ascii="Arial" w:eastAsiaTheme="minorHAnsi" w:hAnsi="Arial"/>
                <w:color w:val="000000"/>
                <w:kern w:val="0"/>
                <w:sz w:val="18"/>
                <w:szCs w:val="18"/>
                <w:lang w:eastAsia="en-US" w:bidi="ar-SA"/>
              </w:rPr>
              <w:t>LIBOR_salias</w:t>
            </w:r>
            <w:proofErr w:type="spellEnd"/>
            <w:r w:rsidRPr="00196167">
              <w:rPr>
                <w:rFonts w:ascii="Arial" w:eastAsiaTheme="minorHAnsi" w:hAnsi="Arial"/>
                <w:color w:val="000000"/>
                <w:kern w:val="0"/>
                <w:sz w:val="18"/>
                <w:szCs w:val="18"/>
                <w:lang w:eastAsia="en-US" w:bidi="ar-SA"/>
              </w:rPr>
              <w:t>*</w:t>
            </w:r>
            <w:proofErr w:type="spellStart"/>
            <w:r w:rsidRPr="00196167">
              <w:rPr>
                <w:rFonts w:ascii="Arial" w:eastAsiaTheme="minorHAnsi" w:hAnsi="Arial"/>
                <w:color w:val="000000"/>
                <w:kern w:val="0"/>
                <w:sz w:val="18"/>
                <w:szCs w:val="18"/>
                <w:lang w:eastAsia="en-US" w:bidi="ar-SA"/>
              </w:rPr>
              <w:t>DUM_FINCRISIS_salias</w:t>
            </w:r>
            <w:proofErr w:type="spellEnd"/>
            <w:r w:rsidRPr="00196167">
              <w:rPr>
                <w:rFonts w:ascii="Arial" w:eastAsiaTheme="minorHAnsi" w:hAnsi="Arial"/>
                <w:color w:val="000000"/>
                <w:kern w:val="0"/>
                <w:sz w:val="18"/>
                <w:szCs w:val="18"/>
                <w:lang w:eastAsia="en-US" w:bidi="ar-SA"/>
              </w:rPr>
              <w:t>)</w:t>
            </w:r>
          </w:p>
        </w:tc>
        <w:tc>
          <w:tcPr>
            <w:tcW w:w="4275" w:type="dxa"/>
            <w:tcBorders>
              <w:top w:val="nil"/>
              <w:left w:val="single" w:sz="4" w:space="0" w:color="auto"/>
              <w:bottom w:val="single" w:sz="4" w:space="0" w:color="auto"/>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-0.017*(LIBOR_salias1*DUM_FINCRISIS_salias1-(LIBOR_salias2*DUM_FINCRISIS_salias2))</w:t>
            </w:r>
          </w:p>
        </w:tc>
      </w:tr>
    </w:tbl>
    <w:p w:rsidR="00EA06FF" w:rsidRDefault="00EA06FF" w:rsidP="00506338">
      <w:pPr>
        <w:pStyle w:val="Heading1"/>
        <w:rPr>
          <w:rFonts w:hint="eastAsia"/>
        </w:rPr>
      </w:pPr>
      <w:r>
        <w:t>Contact Information</w:t>
      </w:r>
    </w:p>
    <w:p w:rsidR="00087B4C" w:rsidRPr="00087B4C" w:rsidRDefault="00087B4C" w:rsidP="00087B4C">
      <w:pPr>
        <w:ind w:left="709"/>
        <w:rPr>
          <w:rFonts w:hint="eastAsia"/>
        </w:rPr>
      </w:pPr>
      <w:r w:rsidRPr="00087B4C">
        <w:t xml:space="preserve">Please send any questions, comments, criticisms, or complaints </w:t>
      </w:r>
      <w:r>
        <w:t xml:space="preserve">to the dedicated Eviews </w:t>
      </w:r>
      <w:proofErr w:type="gramStart"/>
      <w:r>
        <w:t>forum</w:t>
      </w:r>
      <w:r w:rsidRPr="00087B4C">
        <w:t xml:space="preserve"> </w:t>
      </w:r>
      <w:r>
        <w:t xml:space="preserve"> or</w:t>
      </w:r>
      <w:proofErr w:type="gramEnd"/>
      <w:r>
        <w:t xml:space="preserve"> privately to </w:t>
      </w:r>
      <w:hyperlink r:id="rId16" w:history="1">
        <w:r w:rsidRPr="00AC2797">
          <w:rPr>
            <w:rStyle w:val="Hyperlink"/>
          </w:rPr>
          <w:t>kamil.kovar@cerge-ei.cz</w:t>
        </w:r>
      </w:hyperlink>
      <w:r>
        <w:t xml:space="preserve"> or</w:t>
      </w:r>
      <w:r w:rsidRPr="00087B4C">
        <w:t>. If you'd like to contribute to the project, please feel free to send a pull request t</w:t>
      </w:r>
      <w:r w:rsidR="004146C3">
        <w:t xml:space="preserve">o </w:t>
      </w:r>
      <w:hyperlink r:id="rId17" w:history="1">
        <w:r w:rsidR="009B34EC" w:rsidRPr="009B34EC">
          <w:rPr>
            <w:rStyle w:val="Hyperlink"/>
            <w:rFonts w:hint="eastAsia"/>
          </w:rPr>
          <w:t>https://github.com/CrisisStudent/FcastDecomp</w:t>
        </w:r>
      </w:hyperlink>
      <w:r w:rsidRPr="00087B4C">
        <w:t>.</w:t>
      </w:r>
    </w:p>
    <w:p w:rsidR="00EA06FF" w:rsidRDefault="00696153" w:rsidP="00506338">
      <w:pPr>
        <w:pStyle w:val="Heading1"/>
        <w:rPr>
          <w:rFonts w:hint="eastAsia"/>
        </w:rPr>
      </w:pPr>
      <w:r w:rsidRPr="00696153">
        <w:t>Additional notes</w:t>
      </w:r>
    </w:p>
    <w:p w:rsidR="00FD30C3" w:rsidRDefault="00FD30C3" w:rsidP="00FD30C3">
      <w:pPr>
        <w:pStyle w:val="NoSpacing"/>
        <w:rPr>
          <w:rFonts w:hint="eastAsia"/>
        </w:rPr>
      </w:pPr>
      <w:r>
        <w:t xml:space="preserve">The add-in is separated into </w:t>
      </w:r>
      <w:proofErr w:type="spellStart"/>
      <w:r>
        <w:t>settings&amp;execution</w:t>
      </w:r>
      <w:proofErr w:type="spellEnd"/>
      <w:r>
        <w:t xml:space="preserve"> program file and subroutines program file. This allows developers to repurpose the subroutine(s) outside of the add-in.   </w:t>
      </w:r>
      <w:bookmarkStart w:id="0" w:name="_GoBack"/>
      <w:bookmarkEnd w:id="0"/>
    </w:p>
    <w:sectPr w:rsidR="00FD30C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71F" w:rsidRDefault="00F8771F" w:rsidP="0018372F">
      <w:pPr>
        <w:rPr>
          <w:rFonts w:hint="eastAsia"/>
        </w:rPr>
      </w:pPr>
      <w:r>
        <w:separator/>
      </w:r>
    </w:p>
  </w:endnote>
  <w:endnote w:type="continuationSeparator" w:id="0">
    <w:p w:rsidR="00F8771F" w:rsidRDefault="00F8771F" w:rsidP="0018372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71F" w:rsidRDefault="00F8771F" w:rsidP="0018372F">
      <w:pPr>
        <w:rPr>
          <w:rFonts w:hint="eastAsia"/>
        </w:rPr>
      </w:pPr>
      <w:r>
        <w:separator/>
      </w:r>
    </w:p>
  </w:footnote>
  <w:footnote w:type="continuationSeparator" w:id="0">
    <w:p w:rsidR="00F8771F" w:rsidRDefault="00F8771F" w:rsidP="0018372F">
      <w:pPr>
        <w:rPr>
          <w:rFonts w:hint="eastAsia"/>
        </w:rPr>
      </w:pPr>
      <w:r>
        <w:continuationSeparator/>
      </w:r>
    </w:p>
  </w:footnote>
  <w:footnote w:id="1">
    <w:p w:rsidR="003E24B0" w:rsidRDefault="003E24B0">
      <w:pPr>
        <w:pStyle w:val="FootnoteText"/>
      </w:pPr>
      <w:r>
        <w:rPr>
          <w:rStyle w:val="FootnoteReference"/>
          <w:rFonts w:hint="eastAsia"/>
        </w:rPr>
        <w:footnoteRef/>
      </w:r>
      <w:r>
        <w:rPr>
          <w:rFonts w:hint="eastAsia"/>
        </w:rPr>
        <w:t xml:space="preserve"> </w:t>
      </w:r>
      <w:r w:rsidRPr="003E24B0">
        <w:rPr>
          <w:rFonts w:hint="eastAsia"/>
        </w:rPr>
        <w:t>Data for this illustration and program executing it is part of the add-in package.</w:t>
      </w:r>
    </w:p>
  </w:footnote>
  <w:footnote w:id="2">
    <w:p w:rsidR="004C0A5D" w:rsidRDefault="004C0A5D">
      <w:pPr>
        <w:pStyle w:val="FootnoteText"/>
      </w:pPr>
      <w:r>
        <w:rPr>
          <w:rStyle w:val="FootnoteReference"/>
          <w:rFonts w:hint="eastAsia"/>
        </w:rPr>
        <w:footnoteRef/>
      </w:r>
      <w:r>
        <w:rPr>
          <w:rFonts w:hint="eastAsia"/>
        </w:rPr>
        <w:t xml:space="preserve"> </w:t>
      </w:r>
      <w:r>
        <w:t>Note that constant is not included, since difference of two identical constants is zero.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C7DFC"/>
    <w:multiLevelType w:val="hybridMultilevel"/>
    <w:tmpl w:val="E3F006C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FF"/>
    <w:rsid w:val="000034A3"/>
    <w:rsid w:val="000101D8"/>
    <w:rsid w:val="0001065B"/>
    <w:rsid w:val="00011136"/>
    <w:rsid w:val="00012DE8"/>
    <w:rsid w:val="000208B9"/>
    <w:rsid w:val="0002315A"/>
    <w:rsid w:val="00041C03"/>
    <w:rsid w:val="00045096"/>
    <w:rsid w:val="00087B4C"/>
    <w:rsid w:val="00096368"/>
    <w:rsid w:val="000A6911"/>
    <w:rsid w:val="000B3DD6"/>
    <w:rsid w:val="000C24E2"/>
    <w:rsid w:val="000D2CB7"/>
    <w:rsid w:val="000E3333"/>
    <w:rsid w:val="001002B8"/>
    <w:rsid w:val="0013519F"/>
    <w:rsid w:val="0017707D"/>
    <w:rsid w:val="0018372F"/>
    <w:rsid w:val="00183BBD"/>
    <w:rsid w:val="001858A2"/>
    <w:rsid w:val="00196167"/>
    <w:rsid w:val="001D6DEC"/>
    <w:rsid w:val="001E6308"/>
    <w:rsid w:val="001E6D22"/>
    <w:rsid w:val="001E7B10"/>
    <w:rsid w:val="0020415E"/>
    <w:rsid w:val="002137E1"/>
    <w:rsid w:val="0022596D"/>
    <w:rsid w:val="002350A3"/>
    <w:rsid w:val="00235D60"/>
    <w:rsid w:val="0023632F"/>
    <w:rsid w:val="00243E44"/>
    <w:rsid w:val="00247AFE"/>
    <w:rsid w:val="00254057"/>
    <w:rsid w:val="00280892"/>
    <w:rsid w:val="002836F1"/>
    <w:rsid w:val="002A539E"/>
    <w:rsid w:val="002B19A9"/>
    <w:rsid w:val="002C5CD7"/>
    <w:rsid w:val="002E1300"/>
    <w:rsid w:val="00310EE9"/>
    <w:rsid w:val="0031293D"/>
    <w:rsid w:val="0031501A"/>
    <w:rsid w:val="00333EB6"/>
    <w:rsid w:val="003566F3"/>
    <w:rsid w:val="0037139B"/>
    <w:rsid w:val="00376DE1"/>
    <w:rsid w:val="003777AE"/>
    <w:rsid w:val="00377B94"/>
    <w:rsid w:val="003944D6"/>
    <w:rsid w:val="003A3862"/>
    <w:rsid w:val="003A6552"/>
    <w:rsid w:val="003A6ABD"/>
    <w:rsid w:val="003C4139"/>
    <w:rsid w:val="003C7CBF"/>
    <w:rsid w:val="003D4193"/>
    <w:rsid w:val="003D5A8C"/>
    <w:rsid w:val="003E24B0"/>
    <w:rsid w:val="003E48A4"/>
    <w:rsid w:val="003F312A"/>
    <w:rsid w:val="003F7C96"/>
    <w:rsid w:val="00400CA6"/>
    <w:rsid w:val="00411358"/>
    <w:rsid w:val="004146C3"/>
    <w:rsid w:val="004343A5"/>
    <w:rsid w:val="00457323"/>
    <w:rsid w:val="00473552"/>
    <w:rsid w:val="00474D4B"/>
    <w:rsid w:val="004A1C44"/>
    <w:rsid w:val="004C0A5D"/>
    <w:rsid w:val="004C6B8F"/>
    <w:rsid w:val="004D2F29"/>
    <w:rsid w:val="004E7A99"/>
    <w:rsid w:val="004E7DC8"/>
    <w:rsid w:val="00506338"/>
    <w:rsid w:val="0055009C"/>
    <w:rsid w:val="00550DB5"/>
    <w:rsid w:val="00570E37"/>
    <w:rsid w:val="00572B23"/>
    <w:rsid w:val="00573587"/>
    <w:rsid w:val="00592A88"/>
    <w:rsid w:val="005A4404"/>
    <w:rsid w:val="005F106B"/>
    <w:rsid w:val="005F515F"/>
    <w:rsid w:val="005F6D27"/>
    <w:rsid w:val="0061669E"/>
    <w:rsid w:val="00616FB4"/>
    <w:rsid w:val="006546AC"/>
    <w:rsid w:val="00660162"/>
    <w:rsid w:val="00670420"/>
    <w:rsid w:val="006766FE"/>
    <w:rsid w:val="006809D0"/>
    <w:rsid w:val="00696153"/>
    <w:rsid w:val="006A0AD3"/>
    <w:rsid w:val="006A1E84"/>
    <w:rsid w:val="006D60C0"/>
    <w:rsid w:val="00700BF9"/>
    <w:rsid w:val="007032FC"/>
    <w:rsid w:val="007307B8"/>
    <w:rsid w:val="00731EE7"/>
    <w:rsid w:val="00734EAD"/>
    <w:rsid w:val="00737CF8"/>
    <w:rsid w:val="00744A45"/>
    <w:rsid w:val="0074712B"/>
    <w:rsid w:val="00747563"/>
    <w:rsid w:val="007611EF"/>
    <w:rsid w:val="00770B71"/>
    <w:rsid w:val="00773936"/>
    <w:rsid w:val="00781528"/>
    <w:rsid w:val="0079048D"/>
    <w:rsid w:val="007A2AD0"/>
    <w:rsid w:val="007A50DF"/>
    <w:rsid w:val="007A5D1C"/>
    <w:rsid w:val="007B1A03"/>
    <w:rsid w:val="007B27BD"/>
    <w:rsid w:val="007D5FD1"/>
    <w:rsid w:val="007D7087"/>
    <w:rsid w:val="007E70F8"/>
    <w:rsid w:val="007F2B40"/>
    <w:rsid w:val="007F4755"/>
    <w:rsid w:val="00802606"/>
    <w:rsid w:val="00821868"/>
    <w:rsid w:val="00850907"/>
    <w:rsid w:val="00860E7C"/>
    <w:rsid w:val="00863F90"/>
    <w:rsid w:val="00871093"/>
    <w:rsid w:val="00876C78"/>
    <w:rsid w:val="008A2703"/>
    <w:rsid w:val="008B714F"/>
    <w:rsid w:val="008C363B"/>
    <w:rsid w:val="008C7074"/>
    <w:rsid w:val="008F0918"/>
    <w:rsid w:val="008F23FD"/>
    <w:rsid w:val="008F37E6"/>
    <w:rsid w:val="008F4A98"/>
    <w:rsid w:val="00900C03"/>
    <w:rsid w:val="00912406"/>
    <w:rsid w:val="0091709C"/>
    <w:rsid w:val="009301BF"/>
    <w:rsid w:val="0095496A"/>
    <w:rsid w:val="009767D0"/>
    <w:rsid w:val="009A02A9"/>
    <w:rsid w:val="009B34EC"/>
    <w:rsid w:val="009C265F"/>
    <w:rsid w:val="009E40D9"/>
    <w:rsid w:val="009F0092"/>
    <w:rsid w:val="009F0B95"/>
    <w:rsid w:val="00A00163"/>
    <w:rsid w:val="00A00E9A"/>
    <w:rsid w:val="00A03FF0"/>
    <w:rsid w:val="00A11DFE"/>
    <w:rsid w:val="00A15061"/>
    <w:rsid w:val="00A17DFD"/>
    <w:rsid w:val="00A20AE5"/>
    <w:rsid w:val="00A44D66"/>
    <w:rsid w:val="00A54FD3"/>
    <w:rsid w:val="00A578B5"/>
    <w:rsid w:val="00A63038"/>
    <w:rsid w:val="00A74FF1"/>
    <w:rsid w:val="00A941F1"/>
    <w:rsid w:val="00A960EB"/>
    <w:rsid w:val="00AA63F1"/>
    <w:rsid w:val="00AC0309"/>
    <w:rsid w:val="00AC43E2"/>
    <w:rsid w:val="00AC5D0B"/>
    <w:rsid w:val="00AD069E"/>
    <w:rsid w:val="00AD7F22"/>
    <w:rsid w:val="00AE04BF"/>
    <w:rsid w:val="00AF7A51"/>
    <w:rsid w:val="00B00BE3"/>
    <w:rsid w:val="00B00D5B"/>
    <w:rsid w:val="00B275A6"/>
    <w:rsid w:val="00B404F0"/>
    <w:rsid w:val="00B440F1"/>
    <w:rsid w:val="00B4492B"/>
    <w:rsid w:val="00B6226B"/>
    <w:rsid w:val="00B74A0C"/>
    <w:rsid w:val="00B877F7"/>
    <w:rsid w:val="00BB1BE4"/>
    <w:rsid w:val="00BD3AA4"/>
    <w:rsid w:val="00BF577B"/>
    <w:rsid w:val="00C02B6E"/>
    <w:rsid w:val="00C12D46"/>
    <w:rsid w:val="00C25AAE"/>
    <w:rsid w:val="00C26439"/>
    <w:rsid w:val="00C64B1F"/>
    <w:rsid w:val="00C65D31"/>
    <w:rsid w:val="00C67236"/>
    <w:rsid w:val="00C74470"/>
    <w:rsid w:val="00C75014"/>
    <w:rsid w:val="00CE0F0D"/>
    <w:rsid w:val="00CE2B9C"/>
    <w:rsid w:val="00D05328"/>
    <w:rsid w:val="00D16B43"/>
    <w:rsid w:val="00D1726B"/>
    <w:rsid w:val="00D2339A"/>
    <w:rsid w:val="00D76480"/>
    <w:rsid w:val="00D76B0B"/>
    <w:rsid w:val="00D80231"/>
    <w:rsid w:val="00D81A36"/>
    <w:rsid w:val="00D86DA6"/>
    <w:rsid w:val="00D92982"/>
    <w:rsid w:val="00D92DF9"/>
    <w:rsid w:val="00DB4947"/>
    <w:rsid w:val="00DB506F"/>
    <w:rsid w:val="00DE0963"/>
    <w:rsid w:val="00DF3C82"/>
    <w:rsid w:val="00E15F63"/>
    <w:rsid w:val="00E308E1"/>
    <w:rsid w:val="00E41BD7"/>
    <w:rsid w:val="00E523A5"/>
    <w:rsid w:val="00E57E6D"/>
    <w:rsid w:val="00E668E5"/>
    <w:rsid w:val="00E71B7E"/>
    <w:rsid w:val="00E75A00"/>
    <w:rsid w:val="00E86E12"/>
    <w:rsid w:val="00E91BAE"/>
    <w:rsid w:val="00EA06FF"/>
    <w:rsid w:val="00EA0E34"/>
    <w:rsid w:val="00EA7285"/>
    <w:rsid w:val="00EA7C22"/>
    <w:rsid w:val="00ED12AD"/>
    <w:rsid w:val="00ED1F22"/>
    <w:rsid w:val="00F13981"/>
    <w:rsid w:val="00F14C55"/>
    <w:rsid w:val="00F16F60"/>
    <w:rsid w:val="00F44C11"/>
    <w:rsid w:val="00F469EF"/>
    <w:rsid w:val="00F63B5F"/>
    <w:rsid w:val="00F64630"/>
    <w:rsid w:val="00F845DA"/>
    <w:rsid w:val="00F8771F"/>
    <w:rsid w:val="00F9288D"/>
    <w:rsid w:val="00FB7587"/>
    <w:rsid w:val="00FC1AC1"/>
    <w:rsid w:val="00FC22F5"/>
    <w:rsid w:val="00FC63D3"/>
    <w:rsid w:val="00FD30C3"/>
    <w:rsid w:val="00FD6148"/>
    <w:rsid w:val="00FE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8F37E6"/>
    <w:pPr>
      <w:spacing w:before="240" w:after="120"/>
      <w:ind w:left="70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506338"/>
    <w:pPr>
      <w:spacing w:after="120"/>
      <w:ind w:left="706"/>
      <w:jc w:val="both"/>
    </w:pPr>
  </w:style>
  <w:style w:type="character" w:styleId="Hyperlink">
    <w:name w:val="Hyperlink"/>
    <w:basedOn w:val="DefaultParagraphFont"/>
    <w:uiPriority w:val="99"/>
    <w:unhideWhenUsed/>
    <w:rsid w:val="00087B4C"/>
    <w:rPr>
      <w:color w:val="0000FF" w:themeColor="hyperlink"/>
      <w:u w:val="single"/>
    </w:rPr>
  </w:style>
  <w:style w:type="paragraph" w:styleId="FootnoteText">
    <w:name w:val="footnote text"/>
    <w:basedOn w:val="Normal"/>
    <w:link w:val="FootnoteTextChar"/>
    <w:uiPriority w:val="99"/>
    <w:semiHidden/>
    <w:unhideWhenUsed/>
    <w:rsid w:val="0018372F"/>
    <w:rPr>
      <w:rFonts w:cs="Mangal"/>
      <w:sz w:val="20"/>
      <w:szCs w:val="18"/>
    </w:rPr>
  </w:style>
  <w:style w:type="character" w:customStyle="1" w:styleId="FootnoteTextChar">
    <w:name w:val="Footnote Text Char"/>
    <w:basedOn w:val="DefaultParagraphFont"/>
    <w:link w:val="FootnoteText"/>
    <w:uiPriority w:val="99"/>
    <w:semiHidden/>
    <w:rsid w:val="0018372F"/>
    <w:rPr>
      <w:rFonts w:ascii="Liberation Serif" w:eastAsia="SimSun" w:hAnsi="Liberation Serif" w:cs="Mangal"/>
      <w:kern w:val="3"/>
      <w:sz w:val="20"/>
      <w:szCs w:val="18"/>
      <w:lang w:eastAsia="zh-CN" w:bidi="hi-IN"/>
    </w:rPr>
  </w:style>
  <w:style w:type="character" w:styleId="FootnoteReference">
    <w:name w:val="footnote reference"/>
    <w:basedOn w:val="DefaultParagraphFont"/>
    <w:uiPriority w:val="99"/>
    <w:semiHidden/>
    <w:unhideWhenUsed/>
    <w:rsid w:val="0018372F"/>
    <w:rPr>
      <w:vertAlign w:val="superscript"/>
    </w:rPr>
  </w:style>
  <w:style w:type="character" w:styleId="PlaceholderText">
    <w:name w:val="Placeholder Text"/>
    <w:basedOn w:val="DefaultParagraphFont"/>
    <w:uiPriority w:val="99"/>
    <w:semiHidden/>
    <w:rsid w:val="00FB7587"/>
    <w:rPr>
      <w:color w:val="808080"/>
    </w:rPr>
  </w:style>
  <w:style w:type="character" w:customStyle="1" w:styleId="Heading1Char">
    <w:name w:val="Heading 1 Char"/>
    <w:basedOn w:val="DefaultParagraphFont"/>
    <w:link w:val="Heading1"/>
    <w:uiPriority w:val="9"/>
    <w:rsid w:val="008F37E6"/>
    <w:rPr>
      <w:rFonts w:ascii="Liberation Serif" w:eastAsia="SimSun" w:hAnsi="Liberation Serif" w:cs="Arial"/>
      <w:b/>
      <w:bCs/>
      <w:kern w:val="3"/>
      <w:sz w:val="28"/>
      <w:szCs w:val="28"/>
      <w:lang w:eastAsia="zh-CN" w:bidi="hi-IN"/>
    </w:rPr>
  </w:style>
  <w:style w:type="paragraph" w:styleId="ListParagraph">
    <w:name w:val="List Paragraph"/>
    <w:basedOn w:val="Normal"/>
    <w:uiPriority w:val="34"/>
    <w:qFormat/>
    <w:rsid w:val="00506338"/>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8F37E6"/>
    <w:pPr>
      <w:spacing w:before="240" w:after="120"/>
      <w:ind w:left="70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506338"/>
    <w:pPr>
      <w:spacing w:after="120"/>
      <w:ind w:left="706"/>
      <w:jc w:val="both"/>
    </w:pPr>
  </w:style>
  <w:style w:type="character" w:styleId="Hyperlink">
    <w:name w:val="Hyperlink"/>
    <w:basedOn w:val="DefaultParagraphFont"/>
    <w:uiPriority w:val="99"/>
    <w:unhideWhenUsed/>
    <w:rsid w:val="00087B4C"/>
    <w:rPr>
      <w:color w:val="0000FF" w:themeColor="hyperlink"/>
      <w:u w:val="single"/>
    </w:rPr>
  </w:style>
  <w:style w:type="paragraph" w:styleId="FootnoteText">
    <w:name w:val="footnote text"/>
    <w:basedOn w:val="Normal"/>
    <w:link w:val="FootnoteTextChar"/>
    <w:uiPriority w:val="99"/>
    <w:semiHidden/>
    <w:unhideWhenUsed/>
    <w:rsid w:val="0018372F"/>
    <w:rPr>
      <w:rFonts w:cs="Mangal"/>
      <w:sz w:val="20"/>
      <w:szCs w:val="18"/>
    </w:rPr>
  </w:style>
  <w:style w:type="character" w:customStyle="1" w:styleId="FootnoteTextChar">
    <w:name w:val="Footnote Text Char"/>
    <w:basedOn w:val="DefaultParagraphFont"/>
    <w:link w:val="FootnoteText"/>
    <w:uiPriority w:val="99"/>
    <w:semiHidden/>
    <w:rsid w:val="0018372F"/>
    <w:rPr>
      <w:rFonts w:ascii="Liberation Serif" w:eastAsia="SimSun" w:hAnsi="Liberation Serif" w:cs="Mangal"/>
      <w:kern w:val="3"/>
      <w:sz w:val="20"/>
      <w:szCs w:val="18"/>
      <w:lang w:eastAsia="zh-CN" w:bidi="hi-IN"/>
    </w:rPr>
  </w:style>
  <w:style w:type="character" w:styleId="FootnoteReference">
    <w:name w:val="footnote reference"/>
    <w:basedOn w:val="DefaultParagraphFont"/>
    <w:uiPriority w:val="99"/>
    <w:semiHidden/>
    <w:unhideWhenUsed/>
    <w:rsid w:val="0018372F"/>
    <w:rPr>
      <w:vertAlign w:val="superscript"/>
    </w:rPr>
  </w:style>
  <w:style w:type="character" w:styleId="PlaceholderText">
    <w:name w:val="Placeholder Text"/>
    <w:basedOn w:val="DefaultParagraphFont"/>
    <w:uiPriority w:val="99"/>
    <w:semiHidden/>
    <w:rsid w:val="00FB7587"/>
    <w:rPr>
      <w:color w:val="808080"/>
    </w:rPr>
  </w:style>
  <w:style w:type="character" w:customStyle="1" w:styleId="Heading1Char">
    <w:name w:val="Heading 1 Char"/>
    <w:basedOn w:val="DefaultParagraphFont"/>
    <w:link w:val="Heading1"/>
    <w:uiPriority w:val="9"/>
    <w:rsid w:val="008F37E6"/>
    <w:rPr>
      <w:rFonts w:ascii="Liberation Serif" w:eastAsia="SimSun" w:hAnsi="Liberation Serif" w:cs="Arial"/>
      <w:b/>
      <w:bCs/>
      <w:kern w:val="3"/>
      <w:sz w:val="28"/>
      <w:szCs w:val="28"/>
      <w:lang w:eastAsia="zh-CN" w:bidi="hi-IN"/>
    </w:rPr>
  </w:style>
  <w:style w:type="paragraph" w:styleId="ListParagraph">
    <w:name w:val="List Paragraph"/>
    <w:basedOn w:val="Normal"/>
    <w:uiPriority w:val="34"/>
    <w:qFormat/>
    <w:rsid w:val="0050633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github.com/CrisisStudent/FcastDecomp" TargetMode="External"/><Relationship Id="rId2" Type="http://schemas.openxmlformats.org/officeDocument/2006/relationships/styles" Target="styles.xml"/><Relationship Id="rId16" Type="http://schemas.openxmlformats.org/officeDocument/2006/relationships/hyperlink" Target="mailto:kamil.kovar@cerge-ei.cz"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12064</TotalTime>
  <Pages>7</Pages>
  <Words>1792</Words>
  <Characters>10220</Characters>
  <Application>Microsoft Office Word</Application>
  <DocSecurity>0</DocSecurity>
  <Lines>85</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Decomposition explanation</vt:lpstr>
      <vt:lpstr>Output illustration</vt:lpstr>
      <vt:lpstr>Contact Information</vt:lpstr>
      <vt:lpstr>Additional notes</vt:lpstr>
    </vt:vector>
  </TitlesOfParts>
  <Company/>
  <LinksUpToDate>false</LinksUpToDate>
  <CharactersWithSpaces>11989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162</cp:revision>
  <dcterms:created xsi:type="dcterms:W3CDTF">2020-10-22T09:03:00Z</dcterms:created>
  <dcterms:modified xsi:type="dcterms:W3CDTF">2021-03-13T14:22:00Z</dcterms:modified>
</cp:coreProperties>
</file>